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南银理财鼎瑞悦稳（最低持有91天）3号公募人民币理财产品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南银理财鼎瑞悦稳（最低持有91天）3号公募人民币理财产品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11,343,547,891.42</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102.66%</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10,510,626,230.36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44,999.30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884,700,880.86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1.041491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1.041491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427,016,274.47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1.043330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1.043330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A32068份额净值为1.042223元，A32069份额净值为1.041491元，A32076份额净值为1.043330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95.55</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94.16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4.45</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5.84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2,242,000,077.57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1,480,145,649.63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849,526,912.76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576,526,839.96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476,682,132.92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301,519,341.65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227,226,254.07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DQCKX202507140002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北京银行定期存款20250714B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DQCKX202506030001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广州农定期存款20250723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0101020000001272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南京银行南京分行南银理财鼎瑞悦稳最低持有91天3号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25静海城投CP001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042580054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20165561.64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25新滨江SCP004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012580950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30005301.37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24溧水城建PPN009</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10109287.67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23新海连MTN001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102381352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21369945.21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23六合经开PPN001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032300490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51559931.51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25盐城东方SCP003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012581064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50002726.03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25南京软科MTN002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102582046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30006287.67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25高淳建设CP004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042580204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30039057.53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25镇江交通CP001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042580060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10068978.08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25姜堰交通MTN001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102582201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50002657.53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25海发宝诚SCP003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012580882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30032079.45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24清江浦PPN002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032480056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30940808.22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25慢城集团CP001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43227723.29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24康富租赁MTN002(可持续挂钩)</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102482751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92716397.26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24中盛投资PPN001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032480150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112155578.08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24苏科技城MTN003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102401002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51407698.63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23高淳经开MTN003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102382932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103345260.28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24扬州新材PPN001(资产担保)</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032480035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41366356.16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24新沂城投PPN002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70787547.95</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1657883465.69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8271278.36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1479664.98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