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苏银理财恒源季开放10号</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G份额：苏银理财恒源季开放10号G/J02762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Z7003123000155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2026年4月7日至2026年4月</w:t>
            </w:r>
            <w:bookmarkStart w:id="0" w:name="_GoBack"/>
            <w:bookmarkEnd w:id="0"/>
            <w:r>
              <w:rPr>
                <w:rFonts w:hint="eastAsia" w:ascii="楷体" w:hAnsi="楷体" w:eastAsia="楷体" w:cs="宋体"/>
                <w:spacing w:val="-2"/>
                <w:sz w:val="20"/>
                <w:szCs w:val="20"/>
                <w:lang w:val="en-US" w:eastAsia="zh-CN"/>
              </w:rPr>
              <w:t>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2033年12月27日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3703天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类资产、标准化债权类资产、非标准化债权类资产和监管机构允许投资的其他资产。具体资产投资比例为：货币市场工具、债券以及符合监管要求的固定收益类资产占产品资产总值比例为80%-100%，符合监管要求的其他资产占产品资产总值比例0%-20%，其中非标准化债权类资产合计投资比例不高于产品净资产50%。</w:t>
            </w:r>
            <w:r>
              <w:rPr>
                <w:rFonts w:hint="eastAsia" w:ascii="楷体" w:hAnsi="楷体" w:eastAsia="楷体" w:cs="宋体"/>
                <w:spacing w:val="-2"/>
                <w:sz w:val="20"/>
                <w:szCs w:val="20"/>
                <w:lang w:val="en-US" w:eastAsia="zh-CN"/>
              </w:rPr>
              <w:cr/>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r>
              <w:rPr>
                <w:rFonts w:hint="eastAsia" w:ascii="楷体" w:hAnsi="楷体" w:eastAsia="楷体" w:cs="宋体"/>
                <w:spacing w:val="-2"/>
                <w:sz w:val="20"/>
                <w:szCs w:val="20"/>
                <w:lang w:val="en-US" w:eastAsia="zh-CN"/>
              </w:rPr>
              <w:cr/>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G份额:0.3%年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1.90%-2.70%，2026年4月16日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455114C"/>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9</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2026-04-03T02:28:46Z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