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苏银理财恒源1年定开41期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A份额：苏银理财恒源1年定开41期A/J02285</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B份额：苏银理财恒源1年定开41期B/J02286</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C份额：苏银理财恒源1年定开41期C/J17631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D份额：苏银理财恒源1年定开41期D/J03188</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F份额：苏银理财恒源1年定开41期F/J03189</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J份额：苏银理财恒源1年定开41期J/J03190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ZA鑫福款（自动赎回）份额：苏银理财恒源1年定开41期ZA鑫福款（自动赎回）/J03191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ZC鑫福优享（自动赎回）份额：苏银理财恒源1年定开41期ZC鑫福优享（自动赎回）/J17637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ZF份额：苏银理财恒源1年定开41期ZF/J03192</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ZK鑫福尊享（自动赎回）份额：苏银理财恒源1年定开41期ZK鑫福尊享（自动赎回）/J17638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Z7003123000028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2026年4月20日至2026年4月28日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2033年3月31日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widowControl/>
              <w:suppressLineNumbers w:val="0"/>
              <w:jc w:val="right"/>
              <w:textAlignment w:val="center"/>
              <w:rPr>
                <w:rFonts w:hint="eastAsia" w:ascii="仿宋_GB2312" w:hAnsi="仿宋" w:eastAsia="仿宋_GB2312"/>
                <w:b/>
                <w:kern w:val="0"/>
                <w:sz w:val="20"/>
                <w:szCs w:val="21"/>
              </w:rPr>
            </w:pPr>
            <w:r>
              <w:rPr>
                <w:rFonts w:hint="eastAsia" w:ascii="仿宋_GB2312" w:hAnsi="仿宋" w:eastAsia="仿宋_GB2312" w:cs="Times New Roman"/>
                <w:b/>
                <w:kern w:val="0"/>
                <w:sz w:val="20"/>
                <w:szCs w:val="21"/>
                <w:lang w:val="en-US" w:eastAsia="zh-CN" w:bidi="ar-SA"/>
              </w:rPr>
              <w:t>下一投资周期</w:t>
            </w:r>
          </w:p>
        </w:tc>
        <w:tc>
          <w:tcPr>
            <w:tcW w:w="6095" w:type="dxa"/>
            <w:vAlign w:val="center"/>
          </w:tcPr>
          <w:p>
            <w:pPr>
              <w:keepNext w:val="0"/>
              <w:keepLines w:val="0"/>
              <w:widowControl/>
              <w:suppressLineNumbers w:val="0"/>
              <w:jc w:val="left"/>
              <w:textAlignment w:val="center"/>
              <w:rPr>
                <w:rFonts w:hint="eastAsia" w:ascii="楷体" w:hAnsi="楷体" w:eastAsia="楷体" w:cs="宋体"/>
                <w:spacing w:val="-2"/>
                <w:sz w:val="20"/>
                <w:szCs w:val="20"/>
                <w:lang w:val="en-US" w:eastAsia="zh-CN"/>
              </w:rPr>
            </w:pPr>
            <w:r>
              <w:rPr>
                <w:rFonts w:hint="eastAsia" w:ascii="楷体" w:hAnsi="楷体" w:eastAsia="楷体" w:cs="楷体"/>
                <w:i w:val="0"/>
                <w:iCs w:val="0"/>
                <w:color w:val="000000"/>
                <w:kern w:val="0"/>
                <w:sz w:val="19"/>
                <w:szCs w:val="19"/>
                <w:u w:val="none"/>
                <w:lang w:val="en-US" w:eastAsia="zh-CN" w:bidi="ar"/>
              </w:rPr>
              <w:t>2027年5月21日  387天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cs="Times New Roman"/>
                <w:b/>
                <w:kern w:val="0"/>
                <w:sz w:val="20"/>
                <w:szCs w:val="21"/>
                <w:lang w:val="en-US" w:eastAsia="zh-CN" w:bidi="ar-SA"/>
              </w:rPr>
              <w:t>存续期限</w:t>
            </w:r>
          </w:p>
        </w:tc>
        <w:tc>
          <w:tcPr>
            <w:tcW w:w="6095" w:type="dxa"/>
            <w:vAlign w:val="center"/>
          </w:tcPr>
          <w:p>
            <w:pPr>
              <w:spacing w:line="320" w:lineRule="exact"/>
              <w:jc w:val="both"/>
              <w:rPr>
                <w:rFonts w:hint="default" w:ascii="仿宋_GB2312" w:hAnsi="仿宋" w:eastAsia="仿宋_GB2312" w:cs="Times New Roman"/>
                <w:kern w:val="0"/>
                <w:sz w:val="20"/>
                <w:szCs w:val="21"/>
                <w:lang w:val="en-US" w:eastAsia="zh-CN" w:bidi="ar-SA"/>
              </w:rPr>
            </w:pPr>
            <w:r>
              <w:rPr>
                <w:rFonts w:hint="eastAsia" w:ascii="楷体" w:hAnsi="楷体" w:eastAsia="楷体" w:cs="宋体"/>
                <w:spacing w:val="-2"/>
                <w:sz w:val="20"/>
                <w:szCs w:val="20"/>
                <w:lang w:val="en-US" w:eastAsia="zh-CN"/>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仿宋_GB2312" w:hAnsi="仿宋" w:eastAsia="仿宋_GB2312"/>
                <w:b/>
                <w:kern w:val="0"/>
                <w:sz w:val="20"/>
                <w:szCs w:val="21"/>
                <w:lang w:val="en-US" w:eastAsia="zh-CN"/>
              </w:rPr>
              <w:t>投资起点</w:t>
            </w:r>
          </w:p>
        </w:tc>
        <w:tc>
          <w:tcPr>
            <w:tcW w:w="6095"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A/F/ZA/ZF份额认购起点100元，追加金额为100元的整数倍。</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B份额认购起点200000元，追加金额为10000元的整数倍。</w:t>
            </w:r>
          </w:p>
          <w:p>
            <w:pPr>
              <w:keepNext w:val="0"/>
              <w:keepLines w:val="0"/>
              <w:pageBreakBefore w:val="0"/>
              <w:widowControl/>
              <w:kinsoku/>
              <w:wordWrap/>
              <w:overflowPunct/>
              <w:topLinePunct w:val="0"/>
              <w:bidi w:val="0"/>
              <w:snapToGrid/>
              <w:spacing w:line="320" w:lineRule="exact"/>
              <w:jc w:val="both"/>
              <w:textAlignment w:val="auto"/>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C/ZC份额认购起点10000元，追加金额为1元的整数倍。(C份额面向新客户新资金客户销售，ZC份额面向江苏农商特定客群销售。）</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D/J/ZK份额认购起点500000元，追加金额为10000元的整数倍。其中D份额面向高净值客户和白名单客户销售。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highlight w:val="none"/>
              </w:rPr>
              <w:t>代销服务费率</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A/F/ZA/ZF份额：0.30%/年；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B/ZC份额：0.25%/年；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D/J份额：0.20%/年；</w:t>
            </w:r>
          </w:p>
          <w:p>
            <w:pPr>
              <w:spacing w:line="320" w:lineRule="exact"/>
              <w:jc w:val="both"/>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C/ZK份额：0.15%/年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【销售服务费和投资管理费分成（差额补足）】</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A份额：2.45%-3.05%，2026年4月29日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B份额：2.48%-3.08%，2026年4月29日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C份额：2.50%-3.10%，2026年4月29日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D份额：2.60%-3.20%，2026年4月29日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F份额：2.45%-3.05%，2026年4月29日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J份额：2.55%-3.15%，2026年4月29日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ZA鑫福款（自动赎回）份额：2.45%-3.05%，2026年4月29日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ZC鑫福优享（自动赎回）份额：2.50%-3.10%，2026年4月29日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ZF份额：2.45%-3.05%，2026年4月29日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ZK鑫福尊享（自动赎回）份额：2.60%-3.20%，2026年4月29日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1E7783E"/>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2026-04-10T06:45:59Z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