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苏银理财恒源季开放5号</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A份额：苏银理财恒源季开放5号A/J01563</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D份额：苏银理财恒源季开放5号D/J01584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Z7003122000017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2026年4月14日至2026年4月22日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2032年3月31日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3676天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A份额:认购起点1.00元，追加金额为1.00元的整数倍。</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D份额:认购起点500000.00元，追加金额为10000.00元的整数倍。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-20%，其中非标准化债权类资产合计投资比例不高于产品净资产50%。</w:t>
            </w:r>
            <w:r>
              <w:rPr>
                <w:rFonts w:hint="eastAsia" w:ascii="楷体" w:hAnsi="楷体" w:eastAsia="楷体" w:cs="宋体"/>
                <w:spacing w:val="-2"/>
                <w:sz w:val="20"/>
                <w:szCs w:val="20"/>
                <w:lang w:val="en-US" w:eastAsia="zh-CN"/>
              </w:rPr>
              <w:cr/>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r>
              <w:rPr>
                <w:rFonts w:hint="eastAsia" w:ascii="楷体" w:hAnsi="楷体" w:eastAsia="楷体" w:cs="宋体"/>
                <w:spacing w:val="-2"/>
                <w:sz w:val="20"/>
                <w:szCs w:val="20"/>
                <w:lang w:val="en-US" w:eastAsia="zh-CN"/>
              </w:rPr>
              <w:cr/>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相关法律法规和监管部门对以上投资范围和配置比例有另行规定的，按照监管最新规定执行。非因管理人主观因素导致突破前述比例限制的，管理人将在流动</w:t>
            </w:r>
            <w:bookmarkStart w:id="0" w:name="_GoBack"/>
            <w:bookmarkEnd w:id="0"/>
            <w:r>
              <w:rPr>
                <w:rFonts w:hint="eastAsia" w:ascii="楷体" w:hAnsi="楷体" w:eastAsia="楷体" w:cs="宋体"/>
                <w:spacing w:val="-2"/>
                <w:sz w:val="20"/>
                <w:szCs w:val="20"/>
                <w:lang w:val="en-US" w:eastAsia="zh-CN"/>
              </w:rPr>
              <w:t>性受限资产可出售、可转让或者恢复交易的15个交易日内调整至符合相关要求。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A份额:0.3%年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D份额:0.2%年</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cs="Times New Roman"/>
                <w:bCs/>
                <w:kern w:val="0"/>
                <w:sz w:val="20"/>
                <w:szCs w:val="21"/>
                <w:lang w:val="en-US" w:eastAsia="zh-CN" w:bidi="ar-SA"/>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A份额：1.90%-2.70%，2026年4月23日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D份额：2.05%-2.85%，2026年4月23日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A2E6738"/>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0</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2026-04-10T06:39:50Z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