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苏银理财启源现金5号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苏银理财启源现金5号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2023年04月27日</w:t>
      </w:r>
      <w:r>
        <w:rPr>
          <w:rFonts w:ascii="楷体" w:eastAsia="楷体" w:hAnsi="楷体" w:cs="楷体" w:hint="eastAsia"/>
        </w:rPr>
        <w:t xml:space="preserve">成立，于</w:t>
      </w:r>
      <w:r>
        <w:rPr>
          <w:rFonts w:ascii="楷体" w:eastAsia="楷体" w:hAnsi="楷体" w:cs="楷体" w:hint="eastAsia"/>
          <w:spacing w:val="-7"/>
        </w:rPr>
        <w:t xml:space="preserve">2023年04月27日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苏银理财启源现金5号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9,676,260,940.55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9,676,260,940.55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31000188000526885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9,887,190,706.11</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102.18%</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2026-03-31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苏银理财启源现金5号A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0.4238</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0.3964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苏银理财启源现金5号H</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苏银理财启源现金5号J</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0.3279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苏银理财启源现金5号Z</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58.91%</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41.09%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58.91%</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41.09%</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1,112,424,575.96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11.21%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295,634,571.66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200,131,955.72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银行存款20260317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200,130,000.05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25建设银行CD337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198,755,959.50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25农业银行CD333</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198,390,336.33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26北京银行CD037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197,046,207.59</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180,109,151.17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135,005,966.92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120,005,529.66</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1.21%</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200,000,000.00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528,600,273.60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332,465.13</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1,130,034.06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501.75</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1,971,853.61</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9,676,260,940.55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7,570,523,725.67</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2026年第一季度，是"十五五"规划实施的开局之季。在党中央、国务院的坚强领导下，宏观政策靠前发力、协同发力，经济运行起步有力、开局良好，为实现全年经济社会发展目标奠定了坚实基础。</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一季度主要经济指标呈现回升向好态势。国内生产总值达31.88万亿元，同比增长5.4%。全国固定资产投资同比增长4.2%，增速较去年回升1个百分点；社会消费品零售总额12.47万亿元，同比增长4.6%；货物贸易进出口总值11.84万亿元，同比增长15%，季度规模创历史同期新高，增速为近五年最高。总体而言，经济内生动能持续修复，高质量发展扎实推进。债市方面，一季度债券市场呈现"牛陡"特征，短端利率下行幅度显著大于长端，收益率曲线陡峭化趋势明显。1年期国债收益率由季初1.34%附近震荡下行至季末1.20%-1.22%区间，下行幅度逾10个基点。10年期国债收益率在1.77%-1.90%区间宽幅震荡。具体来看：季初收益率位于1.84%附近，受经济开年向好预期推动，于1月上旬上行触及1.90%的季度高点；此后，在流动性保持合理充裕及配置盘"开门红"驱动下，收益率转为震荡下行，春节前下探至1.78%附近；节后小幅回调后再次下行，于2月末触及1.77%的季度低点。进入3月，市场在多空因素交织下呈拉锯态势，季末10年期国债收益率收于1.81%-1.83%附近。整体而言，10年期与1年期国债期限利差明显走阔，反映出资金面宽松对短端的支撑更为强劲，而长端则更多受到基本面预期与供需格局的扰动。</w:t>
      </w:r>
      <w:r>
        <w:rPr>
          <w:rFonts w:ascii="楷体" w:eastAsia="楷体" w:hAnsi="楷体" w:cs="楷体" w:hint="eastAsia"/>
          <w:spacing w:val="8"/>
          <w:sz w:val="21"/>
        </w:rPr>
        <w:br/>
      </w:r>
      <w:r>
        <w:rPr>
          <w:rFonts w:ascii="楷体" w:eastAsia="楷体" w:hAnsi="楷体" w:cs="楷体" w:hint="eastAsia"/>
          <w:spacing w:val="8"/>
          <w:sz w:val="21"/>
        </w:rPr>
        <w:t xml:space="preserve">    报告期内，债券市场显著下行。管理人积极对照监管要求，严格管控现金管理类产品的信用风险、久期风险、集中度风险和流动性风险。在资产配置策略上选择以同业存单、利率债、回购和银行存款等低风险资产为主。在收益率高点配置了部分债券类资产，相关资产的配置主要抓住资金面波动时点进行，兼顾资产类别和期限的总体均衡，较好的把握了波段性机会。此外，本产品采用较多的杠杆策略、交易策略以及货基增强策略，成功获取一定的超额收益。</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第二季度，尽管一季度经济数据整体改善，但在外部不确定性犹存的背景下，宏观政策保持支持性基调的必要性依然较大。货币政策有望维持稳健偏宽松取向，以配合财政政策实施，流动性环境整体保持平稳的确定性较高。债券市场在经历一季度的曲线陡峭化行情后，后续走势将更取决于实体经济复苏成色、政策落地节奏以及外部环境演变。综合考量当前收益率曲线形态及政策环境，二季度债市收益率或存在一定下行空间，建议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2026年一季度，市场流动性整体宽松，本产品在投资高流动性的利率债和AAA存单以外，动态调整产品杠杆率，充分做好资金准备，平稳度过各关键时点，充分满足了产品的流动性需求，保障了投资者的赎回需求。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1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1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1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1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2026-04-17T07:20:24Z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