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苏银理财恒源季开放6号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苏银理财恒源季开放6号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2022年03月22日</w:t>
      </w:r>
      <w:r>
        <w:rPr>
          <w:rFonts w:ascii="楷体" w:eastAsia="楷体" w:hAnsi="楷体" w:cs="楷体" w:hint="eastAsia"/>
        </w:rPr>
        <w:t xml:space="preserve">成立，于</w:t>
      </w:r>
      <w:r>
        <w:rPr>
          <w:rFonts w:ascii="楷体" w:eastAsia="楷体" w:hAnsi="楷体" w:cs="楷体" w:hint="eastAsia"/>
          <w:spacing w:val="-7"/>
        </w:rPr>
        <w:t xml:space="preserve">2022年03月22日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苏银理财恒源季开放6号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Z7003122000036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1,424,495,415.69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1,608,515,600.87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31000188000479627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1,608,804,707.16</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苏银理财恒源季开放6号A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1.126736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1.126736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苏银理财恒源季开放6号C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1.131236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1.131236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苏银理财恒源季开放6号D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1.131664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1.131664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苏银理财恒源季开放6号E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1.134685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1.134685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苏银理财恒源季开放6号F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1.126759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1.126759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苏银理财恒源季开放6号H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1.126511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1.126511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苏银理财恒源季开放6号S</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1.130196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1.130196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苏银理财恒源季开放6号W</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1.125734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1.125734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2.00%-2.80%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11.82%</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86.54%</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1.17%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0.47%</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11.82%</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88.18%</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93,844,393.63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5.83%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23大丰01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51,753,761.65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3.22%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24牛首04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51,223,454.80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3.18%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22开泰02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42,706,183.56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2.65%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17,160,766.63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15,133,234.26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15,081,673.91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12,842,287.83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25金融城建GN002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9,690,986.07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9,303,639.49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0.58%</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6,597,133.00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15,085,421.00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18,000,000.00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34,888,670.00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22,359,288.00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28,000,000.00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43,912,498.00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1,245.10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227,940.80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31,365.73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77,073.87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1,419.64</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1,424,495,415.69</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1,341,375,536.58</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主要配置中高等级债券，组合久期适当，兼顾净值稳定与收益进取。一季度根据信用利差与期限利差变动情况，对信用债进行了灵活调配，时刻关注债券市场调整带来的信用债券配置机会，力求提高组合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w:t>
      </w:r>
      <w:r>
        <w:rPr>
          <w:rFonts w:ascii="楷体" w:eastAsia="楷体" w:hAnsi="楷体" w:cs="楷体" w:hint="eastAsia"/>
          <w:spacing w:val="9"/>
          <w:sz w:val="21"/>
        </w:rPr>
        <w:br/>
      </w:r>
      <w:r>
        <w:rPr>
          <w:rFonts w:ascii="楷体" w:eastAsia="楷体" w:hAnsi="楷体" w:cs="楷体" w:hint="eastAsia"/>
          <w:spacing w:val="9"/>
          <w:sz w:val="21"/>
        </w:rPr>
        <w:t xml:space="preserve">    未来，根据市场动态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220"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222"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223"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225"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2026-04-17T01:56:22Z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