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苏银理财恒源季开放13号</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2026年一季度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苏银理财恒源季开放13号</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2023年12月20日</w:t>
      </w:r>
      <w:r>
        <w:rPr>
          <w:rFonts w:ascii="楷体" w:eastAsia="楷体" w:hAnsi="楷体" w:cs="楷体" w:hint="eastAsia"/>
        </w:rPr>
        <w:t xml:space="preserve">成立，于</w:t>
      </w:r>
      <w:r>
        <w:rPr>
          <w:rFonts w:ascii="楷体" w:eastAsia="楷体" w:hAnsi="楷体" w:cs="楷体" w:hint="eastAsia"/>
          <w:spacing w:val="-7"/>
        </w:rPr>
        <w:t xml:space="preserve">2023年12月20日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苏银理财恒源季开放13号</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Z7003123000161</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526,104,718.17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559,980,825.10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31000188000558737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560,083,211.35</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100.02%</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2026-03-31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苏银理财恒源季开放13号A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1.063212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1.063212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2.10%-2.90%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苏银理财恒源季开放13号C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1.065607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1.065607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2.20%-3.00%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苏银理财恒源季开放13号D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1.066851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1.066851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2.25%-3.05%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苏银理财恒源季开放13号E</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1.069290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1.069290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2.35%-3.15%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苏银理财恒源季开放13号F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1.063216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1.063216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2.10%-2.90%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苏银理财恒源季开放13号G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1.063208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1.063208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2.10%-2.90%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苏银理财恒源季开放13号H</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1.063217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1.063217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2.10%-2.90%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苏银理财恒源季开放13号S</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1.064769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1.064769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2.20%-3.00%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苏银理财恒源季开放13号W</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1.061234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1.061234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2.00%-2.80%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11.53%</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87.21%</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1.26%</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11.53%</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88.47%</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24沂发01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31,156,689.45</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4.99%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27,079,423.65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4.34%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24徐州01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20,763,186.03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3.33%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25北京银行CD168</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9,973,678.00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1.60%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25建设银行CD160</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8,684,533.33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1.39%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25浙商银行CD072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7,208,270.19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1.15%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25南京银行CD079</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7,207,507.36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1.15%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25徽商银行CD073</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7,206,131.81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1.15%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25交通银行CD136</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7,194,455.06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1.15%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25南京银行CD155</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7,183,048.19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1.15%</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3,551,540.00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ZZGL202504091187</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江苏信托安源3号集合资金信托计划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118,806,000.00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120,000,000.00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4,140.43</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32,358.71</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42,217.72</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91,160.52</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526,104,718.17</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652,344,514.32</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2026年一季度，在货币财政协同发力、流动性保持充裕的背景下，前期对供需结构的担忧明显缓解，同时受美伊地缘冲突、通胀预期升温、权益市场波动等阶段性因素扰动，债市呈现陡峭化下行、震荡调整的走势，整体韧性较强。一季度10年期国债收益率呈区间震荡态势，主要在1.78%-1.90%之间波动，季末收于1.81%附近，较2025年末小幅下行4BP，曲线整体呈现牛陡特征，短端收益率受流动性宽松支撑下行明显，长端收益率则受通胀等因素影响呈现阶段性波动。与此同时，宏观经济延续温和复苏态势，货币政策维持适度宽松基调，信用债市场呈现结构性分化，高等级信用债受青睐，市场交易活跃度较去年同期有所提升，整体运行平稳有序。</w:t>
      </w:r>
      <w:r>
        <w:rPr>
          <w:rFonts w:ascii="楷体" w:eastAsia="楷体" w:hAnsi="楷体" w:cs="楷体" w:hint="eastAsia"/>
          <w:spacing w:val="8"/>
          <w:sz w:val="21"/>
        </w:rPr>
        <w:br/>
      </w:r>
      <w:r>
        <w:rPr>
          <w:rFonts w:ascii="楷体" w:eastAsia="楷体" w:hAnsi="楷体" w:cs="楷体" w:hint="eastAsia"/>
          <w:spacing w:val="8"/>
          <w:sz w:val="21"/>
        </w:rPr>
        <w:t xml:space="preserve">    本理财产品以固收类资产为主，主要配置中高等级债券，组合久期适当，兼顾净值稳定与收益进取。一季度根据信用利差与期限利差变动情况，对信用债进行了灵活调配，时刻关注债券市场调整带来的信用债券配置机会，力求提高组合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展望2026年二季度，政策面集中出台的概率有所下降，政策重心或更多落脚于股市托举、央行流动性回收以及防范潜在输入性通胀压力，债市整体波动区间可能较一季度收窄。货币政策与资金面上，降准降息的预期明显降温。随着银行间流动性逐步回归中性，叠加银行、基金等机构为覆盖负债成本可能出现的“卖短买长”行为，收益率曲线或将趋于平坦。短端收益率存在一定回调压力，而长端利率上行空间有限。债券市场方面，长端收益率振幅收窄、中枢有下行可能，配置机会预计优于交易机会，可择机适度增加杠杆、拉长久期以提升组合收益。信用债方面，当前品种利差已压缩至极致，进一步收窄空间有限，性价比持续下降，后续配置需更加审慎。此外，短期内股市对债市的冲击有望减弱，后续需重点关注政策面对输入性通胀信号的反应。</w:t>
      </w:r>
      <w:r>
        <w:rPr>
          <w:rFonts w:ascii="楷体" w:eastAsia="楷体" w:hAnsi="楷体" w:cs="楷体" w:hint="eastAsia"/>
          <w:spacing w:val="9"/>
          <w:sz w:val="21"/>
        </w:rPr>
        <w:br/>
      </w:r>
      <w:r>
        <w:rPr>
          <w:rFonts w:ascii="楷体" w:eastAsia="楷体" w:hAnsi="楷体" w:cs="楷体" w:hint="eastAsia"/>
          <w:spacing w:val="9"/>
          <w:sz w:val="21"/>
        </w:rPr>
        <w:t xml:space="preserve">    未来，根据市场动态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本产品持仓资产以标准化债权类资产为主，变现能力较强，通过组合久期管理、流动性指标监测等多项措施持续加强流动性管理，有效控制产品的流动性风险。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2026年03月31日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674"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676"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677"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679"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2026-04-17T01:49:42Z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