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苏银理财恒源1年定开25期</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2026年一季度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苏银理财恒源1年定开25期</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2022年01月06日</w:t>
      </w:r>
      <w:r>
        <w:rPr>
          <w:rFonts w:ascii="楷体" w:eastAsia="楷体" w:hAnsi="楷体" w:cs="楷体" w:hint="eastAsia"/>
        </w:rPr>
        <w:t xml:space="preserve">成立，于</w:t>
      </w:r>
      <w:r>
        <w:rPr>
          <w:rFonts w:ascii="楷体" w:eastAsia="楷体" w:hAnsi="楷体" w:cs="楷体" w:hint="eastAsia"/>
          <w:spacing w:val="-7"/>
        </w:rPr>
        <w:t xml:space="preserve">2022年01月06日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苏银理财恒源1年定开25期</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Z7003121000147</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开放式净值型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6,607,091,517.47</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6,616,216,489.09</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31000188000448244</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6,797,620,666.02</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102.74%</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2026-03-31</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苏银理财恒源1年定开25期A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1.001345</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1.154522</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2.45%-3.05%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苏银理财恒源1年定开25期B</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1.001362</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1.156758</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2.48%-3.08%</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苏银理财恒源1年定开25期C</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1.001387</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1.001387</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2.50%-3.10%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苏银理财恒源1年定开25期D</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1.001438</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1.069409</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苏银理财恒源1年定开25期F</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1.001351</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1.066080</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2.45%-3.05%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苏银理财恒源1年定开25期G</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1.001369</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1.114628</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2.48%-3.08%</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苏银理财恒源1年定开25期H</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1.001378</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1.115180</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2.50%-3.10%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苏银理财恒源1年定开25期J</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1.001407</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1.068296</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2.55%-3.15%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苏银理财恒源1年定开25期O（兰州银行开门红专属）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1.001416</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1.001416</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2.55%-3.15%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苏银理财恒源1年定开25期P</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1.001474</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1.001474</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2.65%-3.25%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苏银理财恒源1年定开25期R</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1.001445</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1.001445</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苏银理财恒源1年定开25期U</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1.001359</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1.001359</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2.45%-3.05%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苏银理财恒源1年定开25期Z</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1.001359</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1.001359</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2.45%-3.05%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苏银理财恒源1年定开25期ZA鑫福款（自动赎回）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1.001355</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1.066084</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2.45%-3.05%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苏银理财恒源1年定开25期ZC鑫福优享（自动赎回）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1.001387</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1.001387</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2.50%-3.10%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苏银理财恒源1年定开25期ZF2（自动赎回）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1.001416</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1.001416</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2.55%-3.15%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苏银理财恒源1年定开25期ZF（自动赎回）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1.001351</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1.066083</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2.45%-3.05%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苏银理财恒源1年定开25期ZK鑫福尊享（自动赎回）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1.001445</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1.001445</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苏银理财恒源1年定开25期ZN（自动赎回）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1.001414</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1.031962</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2.55%-3.15%</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87"/>
        <w:gridCol w:w="2644"/>
        <w:gridCol w:w="2642"/>
      </w:tblGrid>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8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4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bookmarkStart w:id="1" w:name="_GoBack"/>
            <w:bookmarkEnd w:id="1"/>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40.21%</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52.41%</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权益类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2.97%</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3.35%</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商品及金融衍生品类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混合类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1.06%</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14"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4"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43.18%</w:t>
            </w:r>
          </w:p>
        </w:tc>
        <w:tc>
          <w:tcPr>
            <w:tcW w:w="264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56.82%</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外贸信托臻璟系列集合资金信托计划81期（抖音放心借）</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465,747,821.85</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6.83%</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200,661,486.97</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2.94%</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上海信托-台州循环</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200,426,137.84</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2.94%</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申万宏源-龙鼎定制-2946期</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151,095,000.00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2.22%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大成中证AAA科技创新公司债ETF</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公募基金</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150,743,073.60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2.21%</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国投证券收益凭证-专享SY48号</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150,000,000.00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2.20%</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江苏信托宁享15号集合资金信托计划-淮安高新</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130,232,404.26</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1.91%</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江苏信托宁享18号集合资金信托计划-高淳建发</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130,178,797.68</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1.91%</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陆家嘴信托-稳新-苏睿39号集合资金信托计划（仪征水交）</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105,254,121.00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1.54%</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24六合交通PPN002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103,212,054.79</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1.51%</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抖音导流、信托自主审核通过的借款人</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外贸信托臻璟系列集合资金信托计划81期（抖音放心借）</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350</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465,000,000.00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循环期付息不还本，摊还期按月过手摊还本息;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投资信托计划产品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台州循环经济发展有限公司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上海信托-台州循环</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295</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按季付息，到期一次还本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国投证券股份有限公司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国投证券收益凭证-专享SY48号</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359</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150,000,000.00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投资券商收益凭证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申万宏源证券有限公司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申万宏源-龙鼎定制-2946期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329</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150,000,000.00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投资券商收益凭证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淮安高新控股有限公司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江苏信托宁享15号集合资金信托计划-淮安高新</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351</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130,000,000.00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按季付息，到期一次还本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南京市高淳区建设发展集团有限公司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江苏信托宁享18号集合资金信托计划-高淳建发</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183</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130,000,000.00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按季付息，到期一次还本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仪征市水交投资有限公司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陆家嘴信托-稳新-苏睿39号集合资金信托计划（仪征水交）</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360</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105,000,000.00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按季付息，到期一次还本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申万宏源证券有限公司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申万宏源收益凭证-龙鼎金牛三值定制692期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357</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100,000,000.00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投资券商收益凭证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兰溪市城市投资集团有限公司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上海信托-兰溪城投</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274</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100,000,000.00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按季付息，到期一次还本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中国银河证券股份有限公司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银河金丰收益凭证774期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359</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100,000,000.00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投资券商收益凭证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中国国际金融股份有限公司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中金公司收益凭证-金泽ACSWT2041号</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358</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100,000,000.00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投资券商收益凭证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中泰证券股份有限公司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中泰证券收益凭证-“臻选”第537期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358</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100,000,000.00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投资券商收益凭证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国泰海通证券股份有限公司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国泰海通-瑞启系列26022号</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342</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100,000,000.00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投资券商收益凭证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桐庐县城市建设投资集团有限公司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上海信托-桐庐城建</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274</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70,000,000.00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按季付息，到期一次还本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绍兴市上虞区国有资本投资运营有限公司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重庆信托-上虞国资</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274</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63,000,000.00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按季付息，到期一次还本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江苏盐城港控股集团有限公司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国投泰康-远望318号-盐城港</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359</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50,000,000.00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按季付息，到期一次还本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申万宏源证券有限公司</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2015-01-16</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53,500,000,000.00</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许可项目:证券业务;证券投资咨询;证券投资基金销售服务;证券投资基金托管。(依法须经批准的项目,经相关部门批准后方可开展经营活动,具体经营项目以相关部门批准文件或许可证件为准)一般项目:证券公司为期货公司提供中间介绍业务。(除依法须经批准的项目外,凭营业执照依法自主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兰溪市城市投资集团有限公司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2009-01-15</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150,000,000.00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对城市基础设施建设项目的投资和管理、经营管理、资产管理及投资业务（未经金融等行业监管部门批准不得从事吸收存款、融资担保、代客理财、向社会公众集（融）资等金融业务） ；房地产开发、土地开发、房屋出租。（依法须经批准的项目，经相关部门批准后方可开展经营活动）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中国国际金融股份有限公司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1995-07-31</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4,827,256,900.00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许可项目:证券业务;外汇业务;公募证券投资基金销售;证券公司为期货公司提供中间介绍业务;证券投资基金托管。(依法须经批准的项目,经相关部门批准后方可开展经营活动,具体经营项目以相关部门批准文件或许可证件为准)(不得从事国家和本市产业政策禁止和限制类项目的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南京市高淳区建设发展集团有限公司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2016-10-28</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1,200,000,000.00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接受区政府授权范围内的基础设施、公共项目的投资、融资、建设、运营、管理；负责授权范围内的国有资产经营与管理、对外投资、资本运作。（依法须经批准的项目，经相关部门批准后方可开展经营活动）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台州循环经济发展有限公司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2011-06-07</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3,490,000,000.00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国有资产经营管理；基础设施建设、房地产开发经营、园林绿化工程施工；物业管理；土石方工程服务；农业种植、水产养殖；非金属矿开采、围垦造地工程石料供应、建筑材料、矿产品（不含煤炭）的销售、砂石料经营管理；普通货物仓储（不含危险化学品和食品）；飞机零件、航空设备制造（需经前置审批的项目除外），电池制造、餐饮服务住宿、酒店管理。兼营其他一切合法业务，其中属于依法应当经批准的项目，取得许可审批文件后方可开展相关经营活动（依法须经批准的项目，经相关部门批准后方可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中国银河证券股份有限公司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2007-01-26</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10,934,402,300.00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证券经纪;证券投资咨询;与证券交易、证券投资活动有关的财务顾问;证券承销与保荐;证券自营;融资融券;证券投资基金代销;为期货公司提供中间介绍业务;代销金融产品;证券投资基金托管业务;保险兼业代理业务;销售贵金属制品。(企业依法自主选择经营项目,开展经营活动;依法须经批准的项目,经相关部门批准后依批准的内容开展经营活动;不得从事本市产业政策禁止和限制类项目的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仪征市水交投资有限公司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2003-08-29</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2,200,512,800.00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交通与水利工程投资建设；交通与水利资源开发、利用、服务；交通与水利基础设施养护管理；交通与水利技术推广与服务；自有资产投资。(依法须经批准的项目，经相关部门批准后方可开展经营活动)许可项目：水产养殖；河道疏浚施工专业作业(依法须经批准的项目，经相关部门批准后方可开展经营活动，具体经营项目以审批结果为准)一般项目：水污染治理；水产品批发；水产品零售；茶叶种植；农副产品销售(除依法须经批准的项目外，凭营业执照依法自主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中泰证券股份有限公司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2001-05-15</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7,918,341,000.00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证券经纪;证券投资咨询;与证券交易、证券投资活动有关的财务顾问;证券承销与保荐;证券自营;融资融券;证券投资基金代销;代销金融产品;股票期权做市;证券投资基金托管。(依法须经批准的项目,经相关部门批准后方可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江苏盐城港控股集团有限公司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2020-06-16</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5,050,000,000.00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许可项目：港口经营；房地产开发经营；国内水路旅客运输；进出口代理；供电业务；林木种子生产经营；港口货物装卸搬运活动（依法须经批准的项目，经相关部门批准后方可开展经营活动，具体经营项目以审批结果为准）一般项目：装卸搬运；船舶港口服务；港口设施设备和机械租赁维修业务；五金产品制造；五金产品批发；五金产品零售；信息咨询服务（不含许可类信息咨询服务）；普通货物仓储服务（不含危险化学品等需许可审批的项目）；港口理货；物业管理；国际货物运输代理；工程管理服务；船舶租赁；通用设备修理；从事国际集装箱船、普通货船运输；集装箱租赁服务；集装箱维修；国际船舶代理；国内船舶代理；建筑材料销售；木材销售；建筑用钢筋产品销售；煤炭及制品销售；农产品的生产、销售、加工、运输、贮藏及其他相关服务；化工产品销售（不含许可类化工产品）（除依法须经批准的项目外，凭营业执照依法自主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淮安高新控股有限公司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2011-10-10</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8,400,000,000.00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土地开发整理；市政道路建设；园林绿化建设及养护；商业旅游开发和公共设施建设；房屋租赁；物业管理服务；建筑材料及花卉苗木销售；市政府授权的其他项目经营。（依法须经批准的项目，经相关部门批准的方可开展经营活动）许可项目：各类工程建设活动（依法须经批准的项目，经相关部门批准后方可开展经营活动，具体经营项目以审批结果为准）</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国投证券股份有限公司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2006-08-22</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10,000,000,000.00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证券经纪;证券投资咨询;与证券交易、证券投资活动有关的财务顾问;证券承销与保荐;证券自营;融资融券;代销金融产品;证券投资基金销售;为期货公司提供中间介绍业务;证券投资基金托管;中国证监会批准的其它证券业务。</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桐庐县城市建设投资集团有限公司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2001-04-13</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对城市市政、公用设施、房地产（含保障性住房）、公用事业、城市空间、旅游开发、房屋建筑、物业管理、项目代建及自有资金对外的投资。</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国泰海通证券股份有限公司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1999-08-18</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17,628,925,800.00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许可项目：证券业务；证券投资咨询；证券公司为期货公司提供中间介绍业务。（依法须经批准的项目，经相关部门批准后方可开展经营活动，具体经营项目以相关部门批准文件或许可证件为准）一般项目：证券财务顾问服务。（除依法须经批准的项目外，凭营业执照依法自主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绍兴市上虞区国有资本投资运营有限公司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2015-12-28</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1,000,000,000.00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一般项目：国有资本经营、国有股权管理、对外投资、非居住房地产租赁。(除依法须经批准的项目外，凭营业执照依法自主开展经营活动)。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抖音导流、信托自主审核通过的借款人</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highlight w:val="none"/>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ZZGL202504091188</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江苏信托安源4号集合资金信托计划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111,258,174.00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132,000,000.00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华泰证券(上海)资产管理有限公司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QYWT202603241523</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华泰资管 苏瑞02号 混合双打</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5,000,000.00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5,000,000.00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ZZGL202504091190</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江苏信托安源6号集合资金信托计划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89,968,268.00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100,000,000.00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ZZGL202504091189</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江苏信托安源5号集合资金信托计划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783,892,735.00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1,100,000,000.00</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江苏仪征农村商业银行股份有限公司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1,245.61</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项目类资产交易</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260,000,000.00</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江苏苏州农村商业银行股份有限公司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3,678.53</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苏州银行股份有限公司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43,734.23</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1,378,762.19</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293,072.04</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债券交易</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苏银理财有限责任公司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425,765,606.87</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640,000.00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2026-03-31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6,607,091,517.47</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5,686,881,180.88</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四</w:t>
      </w:r>
      <w:r>
        <w:rPr>
          <w:rFonts w:ascii="楷体" w:hAnsi="楷体" w:cs="楷体" w:hint="eastAsia"/>
          <w:lang w:eastAsia="zh-CN"/>
        </w:rPr>
        <w:t xml:space="preserve">、</w:t>
      </w:r>
      <w:r>
        <w:rPr>
          <w:rFonts w:ascii="楷体" w:eastAsia="楷体" w:hAnsi="楷体" w:cs="楷体" w:hint="eastAsia"/>
        </w:rPr>
        <w:t xml:space="preserve">投资运作情况</w:t>
      </w:r>
    </w:p>
    <w:p>
      <w:pPr>
        <w:pStyle w:val="Heading3"/>
        <w:rPr>
          <w:rFonts w:ascii="楷体" w:eastAsia="楷体" w:hAnsi="楷体" w:cs="楷体" w:hint="eastAsia"/>
          <w:b w:val="0"/>
          <w:sz w:val="21"/>
        </w:rPr>
      </w:pPr>
      <w:r>
        <w:rPr>
          <w:rFonts w:ascii="楷体" w:eastAsia="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hint="eastAsia"/>
          <w:spacing w:val="8"/>
          <w:sz w:val="21"/>
        </w:rPr>
      </w:pPr>
      <w:r>
        <w:rPr>
          <w:rFonts w:ascii="楷体" w:eastAsia="楷体" w:hAnsi="楷体" w:cs="楷体" w:hint="eastAsia"/>
          <w:spacing w:val="8"/>
          <w:sz w:val="21"/>
        </w:rPr>
        <w:t xml:space="preserve">    本理财产品以固收类资产和非标资产为主，主要配置优质非标与中高等级债券，通过对宏观经济、市场利率、债券市场需求供给的变化、信用风险等进行充分研判，主动构建并调整债券资产投资组合，力争获取超额收益。</w:t>
      </w:r>
    </w:p>
    <w:p>
      <w:pPr>
        <w:pStyle w:val="BodyText"/>
        <w:spacing w:before="43" w:line="275" w:lineRule="auto"/>
        <w:ind w:right="1799" w:firstLine="226" w:firstLineChars="100"/>
        <w:rPr>
          <w:rFonts w:ascii="楷体" w:eastAsia="楷体" w:hAnsi="楷体" w:cs="楷体" w:hint="eastAsia"/>
          <w:spacing w:val="8"/>
          <w:sz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hint="eastAsia"/>
          <w:sz w:val="21"/>
        </w:rPr>
      </w:pPr>
      <w:r>
        <w:rPr>
          <w:rFonts w:ascii="楷体" w:eastAsia="楷体" w:hAnsi="楷体" w:cs="楷体" w:hint="eastAsia"/>
          <w:spacing w:val="9"/>
          <w:sz w:val="21"/>
        </w:rPr>
        <w:t xml:space="preserve">    2026年一季度，在货币财政协同发力、流动性保持充裕的背景下，前期对供需结构的担忧明显缓解，同时受美伊地缘冲突、通胀预期升温、权益市场波动等阶段性因素扰动，债市呈现陡峭化下行、震荡调整的走势，整体韧性较强。一季度10年期国债收益率呈区间震荡态势，主要在1.78%-1.90%之间波动，季末收于1.81%附近，较2025年末小幅下行4BP，曲线整体呈现牛陡特征，短端收益率受流动性宽松支撑下行明显，长端收益率则受通胀等因素影响呈现阶段性波动。与此同时，宏观经济延续温和复苏态势，货币政策维持适度宽松基调，信用债市场呈现结构性分化，高等级信用债受青睐，市场交易活跃度较去年同期有所提升，整体运行平稳有序。</w:t>
      </w:r>
      <w:r>
        <w:rPr>
          <w:rFonts w:ascii="楷体" w:eastAsia="楷体" w:hAnsi="楷体" w:cs="楷体" w:hint="eastAsia"/>
          <w:spacing w:val="9"/>
          <w:sz w:val="21"/>
        </w:rPr>
        <w:br/>
      </w:r>
      <w:r>
        <w:rPr>
          <w:rFonts w:ascii="楷体" w:eastAsia="楷体" w:hAnsi="楷体" w:cs="楷体" w:hint="eastAsia"/>
          <w:spacing w:val="9"/>
          <w:sz w:val="21"/>
        </w:rPr>
        <w:t xml:space="preserve">    未来，根据市场变化，控制组合久期处于合理稳健区间。资产配置上兼顾安全性、流动性和收益性，坚守风险合规底线，紧密跟踪市场变化，强化投资研究分析，致力于为广大投资者创造长期稳健的投资回报。</w:t>
      </w:r>
    </w:p>
    <w:p>
      <w:pPr>
        <w:ind w:firstLine="420" w:firstLineChars="200"/>
        <w:rPr>
          <w:rFonts w:ascii="楷体" w:eastAsia="楷体" w:hAnsi="楷体" w:cs="楷体" w:hint="eastAsia"/>
          <w:bCs/>
          <w:kern w:val="0"/>
          <w:szCs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z w:val="21"/>
        </w:rPr>
      </w:pPr>
      <w:r>
        <w:rPr>
          <w:rFonts w:ascii="楷体" w:eastAsia="楷体" w:hAnsi="楷体" w:cs="楷体" w:hint="eastAsia"/>
          <w:spacing w:val="9"/>
          <w:sz w:val="21"/>
        </w:rPr>
        <w:t xml:space="preserve">    本产品持仓优质非标资产与中高等级债券，抗市场波动能力较强，通过组合久期管理、流动性指标监测等多项措施持续加强久期与流动性管理，有效控制产品的流动性风险。</w:t>
      </w:r>
    </w:p>
    <w:p>
      <w:pPr>
        <w:ind w:firstLine="420" w:firstLineChars="200"/>
        <w:rPr>
          <w:rFonts w:ascii="楷体" w:eastAsia="楷体" w:hAnsi="楷体" w:cs="楷体" w:hint="eastAsia"/>
          <w:bCs/>
          <w:kern w:val="0"/>
          <w:szCs w:val="21"/>
        </w:rPr>
      </w:pPr>
    </w:p>
    <w:p>
      <w:pPr>
        <w:rPr>
          <w:rFonts w:ascii="楷体" w:eastAsia="楷体" w:hAnsi="楷体" w:cs="楷体" w:hint="eastAsia"/>
        </w:rPr>
      </w:pPr>
    </w:p>
    <w:p>
      <w:pPr>
        <w:ind w:firstLine="420" w:firstLineChars="200"/>
        <w:rPr>
          <w:rFonts w:ascii="楷体" w:eastAsia="楷体" w:hAnsi="楷体" w:cs="楷体" w:hint="eastAsia"/>
          <w:bCs/>
          <w:kern w:val="0"/>
          <w:szCs w:val="21"/>
        </w:rPr>
      </w:pP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2026年03月31日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3094"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3096"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3097"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3099"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6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eastAsiaTheme="minorEastAsia" w:cs="Arial"/>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nnotationreference">
    <w:name w:val="annotation reference"/>
    <w:uiPriority w:val="99"/>
    <w:unhideWhenUsed/>
    <w:qFormat/>
    <w:rPr>
      <w:sz w:val="21"/>
      <w:szCs w:val="21"/>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zhangguoxing</cp:lastModifiedBy>
  <dcterms:modified xsi:type="dcterms:W3CDTF">2025-10-13T11:54:56Z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18</TotalTime>
  <ScaleCrop>false</ScaleCrop>
  <LinksUpToDate>false</LinksUpToDate>
  <CharactersWithSpaces>2803</CharactersWithSpaces>
  <Application>WPS Office_10.8.2.7119_F1E327BC-269C-435d-A152-05C5408002CA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18</TotalTime>
  <Pages>4</Pages>
  <Words>419</Words>
  <Characters>2389</Characters>
  <Application>WPS Office_10.8.2.7119_F1E327BC-269C-435d-A152-05C5408002CA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zhangguoxing</cp:lastModifiedBy>
  <cp:revision>22</cp:revision>
  <dcterms:created xsi:type="dcterms:W3CDTF">2021-11-18T10:04:00Z</dcterms:created>
  <dcterms:modified xsi:type="dcterms:W3CDTF">2026-04-17T01:54:51Z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2052-10.8.2.7119</vt:lpstr>
  </property>
  <property fmtid="{D5CDD505-2E9C-101B-9397-08002B2CF9AE}" pid="3" name="ICV">
    <vt:lpstr>31802637FF8E4298AD1DCE61A946E12D</vt:lpstr>
  </property>
</Properties>
</file>