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before="156" w:beforeLines="50"/>
        <w:jc w:val="center"/>
        <w:rPr>
          <w:rFonts w:ascii="楷体" w:hAnsi="楷体" w:eastAsia="楷体" w:cs="楷体"/>
          <w:b/>
          <w:bCs/>
          <w:color w:val="000000"/>
          <w:kern w:val="0"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color w:val="000000"/>
          <w:kern w:val="0"/>
          <w:sz w:val="32"/>
          <w:szCs w:val="32"/>
        </w:rPr>
        <w:t>“</w:t>
      </w:r>
      <w:r>
        <w:rPr>
          <w:rFonts w:ascii="楷体" w:hAnsi="楷体" w:eastAsia="楷体"/>
          <w:b/>
          <w:sz w:val="36"/>
          <w:szCs w:val="36"/>
        </w:rPr>
        <w:t/>
      </w:r>
      <w:r>
        <w:rPr>
          <w:rFonts w:hint="eastAsia" w:ascii="楷体" w:hAnsi="楷体" w:eastAsia="楷体"/>
          <w:b/>
          <w:sz w:val="36"/>
          <w:szCs w:val="36"/>
        </w:rPr>
        <w:t/>
      </w:r>
      <w:r>
        <w:rPr>
          <w:rFonts w:ascii="楷体" w:hAnsi="楷体" w:eastAsia="楷体"/>
          <w:b/>
          <w:sz w:val="36"/>
          <w:szCs w:val="36"/>
        </w:rPr>
        <w:t>苏银理财恒源周开放1号</w:t>
      </w:r>
      <w:r>
        <w:rPr>
          <w:rFonts w:hint="eastAsia" w:ascii="楷体" w:hAnsi="楷体" w:eastAsia="楷体" w:cs="楷体"/>
          <w:b/>
          <w:bCs/>
          <w:color w:val="000000"/>
          <w:kern w:val="0"/>
          <w:sz w:val="32"/>
          <w:szCs w:val="32"/>
        </w:rPr>
        <w:t>”</w:t>
      </w:r>
    </w:p>
    <w:p>
      <w:pPr>
        <w:widowControl/>
        <w:spacing w:before="156" w:beforeLines="50"/>
        <w:jc w:val="center"/>
        <w:rPr>
          <w:rFonts w:hint="eastAsia" w:ascii="楷体" w:hAnsi="楷体" w:eastAsia="楷体" w:cs="楷体"/>
          <w:b/>
          <w:bCs/>
          <w:color w:val="000000"/>
          <w:kern w:val="0"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color w:val="000000"/>
          <w:kern w:val="0"/>
          <w:sz w:val="32"/>
          <w:szCs w:val="32"/>
        </w:rPr>
        <w:t>理财产品</w:t>
      </w:r>
      <w:r>
        <w:rPr>
          <w:rFonts w:hint="eastAsia" w:ascii="楷体" w:hAnsi="楷体" w:eastAsia="楷体" w:cs="楷体"/>
          <w:b/>
          <w:bCs/>
          <w:color w:val="000000"/>
          <w:kern w:val="0"/>
          <w:sz w:val="32"/>
          <w:szCs w:val="32"/>
          <w:lang w:val="en-US" w:eastAsia="zh-CN"/>
        </w:rPr>
        <w:t>投资周期业绩</w:t>
      </w:r>
      <w:r>
        <w:rPr>
          <w:rFonts w:hint="eastAsia" w:ascii="楷体" w:hAnsi="楷体" w:eastAsia="楷体" w:cs="楷体"/>
          <w:b/>
          <w:bCs/>
          <w:color w:val="000000"/>
          <w:kern w:val="0"/>
          <w:sz w:val="32"/>
          <w:szCs w:val="32"/>
        </w:rPr>
        <w:t>公告</w:t>
      </w:r>
    </w:p>
    <w:p>
      <w:pPr>
        <w:widowControl/>
        <w:spacing w:after="156" w:afterLines="50"/>
        <w:jc w:val="center"/>
        <w:rPr>
          <w:rFonts w:ascii="楷体" w:hAnsi="楷体" w:eastAsia="楷体" w:cs="楷体"/>
          <w:color w:val="000000"/>
          <w:kern w:val="0"/>
          <w:sz w:val="24"/>
          <w:szCs w:val="24"/>
        </w:rPr>
      </w:pPr>
    </w:p>
    <w:p>
      <w:pPr>
        <w:widowControl/>
        <w:rPr>
          <w:rFonts w:ascii="楷体" w:hAnsi="楷体" w:eastAsia="楷体" w:cs="楷体"/>
          <w:color w:val="000000"/>
          <w:kern w:val="0"/>
          <w:sz w:val="27"/>
          <w:szCs w:val="27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尊敬的客户：</w:t>
      </w:r>
    </w:p>
    <w:p>
      <w:pPr>
        <w:widowControl/>
        <w:spacing w:before="156" w:beforeLines="50"/>
        <w:ind w:firstLine="540" w:firstLineChars="200"/>
        <w:jc w:val="left"/>
        <w:rPr>
          <w:rFonts w:ascii="楷体" w:hAnsi="楷体" w:eastAsia="楷体" w:cs="楷体"/>
          <w:color w:val="000000"/>
          <w:kern w:val="0"/>
          <w:sz w:val="27"/>
          <w:szCs w:val="27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  <w:lang w:val="en-US" w:eastAsia="zh-CN"/>
        </w:rPr>
        <w:t>本产品最新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投资周期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  <w:lang w:eastAsia="zh-CN"/>
        </w:rPr>
        <w:t>（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2026年4月2日-2026年4月8日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  <w:lang w:eastAsia="zh-CN"/>
        </w:rPr>
        <w:t>）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，该投资周期业绩表现如下：</w:t>
      </w:r>
    </w:p>
    <w:tbl>
      <w:tblPr>
        <w:tblStyle w:val="8"/>
        <w:tblW w:w="8615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700"/>
        <w:gridCol w:w="3836"/>
        <w:gridCol w:w="2079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  <w:jc w:val="center"/>
        </w:trPr>
        <w:tc>
          <w:tcPr>
            <w:tcW w:w="2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2662A2" w:fill="auto"/>
            <w:tcMar>
              <w:top w:w="9" w:type="dxa"/>
              <w:left w:w="9" w:type="dxa"/>
              <w:right w:w="9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销售代码</w:t>
            </w:r>
          </w:p>
        </w:tc>
        <w:tc>
          <w:tcPr>
            <w:tcW w:w="3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2662A2" w:fill="auto"/>
            <w:tcMar>
              <w:top w:w="9" w:type="dxa"/>
              <w:left w:w="9" w:type="dxa"/>
              <w:right w:w="9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销售简称</w:t>
            </w:r>
          </w:p>
        </w:tc>
        <w:tc>
          <w:tcPr>
            <w:tcW w:w="20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2662A2" w:fill="auto"/>
            <w:tcMar>
              <w:top w:w="9" w:type="dxa"/>
              <w:left w:w="9" w:type="dxa"/>
              <w:right w:w="9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投资周期年化收益</w:t>
            </w:r>
            <w:bookmarkStart w:id="0" w:name="_GoBack"/>
            <w:bookmarkEnd w:id="0"/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率</w:t>
            </w:r>
          </w:p>
        </w:tc>
      </w:tr>
      <w:tr>
        <w:trPr>
          <w:trHeight w:val="170" w:hRule="atLeast"/>
          <w:jc w:val="center"/>
        </w:trPr>
        <w:tc>
          <w:tcPr>
            <w:tcW w:w="270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" w:type="dxa"/>
              <w:left w:w="9" w:type="dxa"/>
              <w:right w:w="9" w:type="dxa"/>
            </w:tcMar>
            <w:vAlign w:val="top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cs="楷体" w:eastAsia="楷体"/>
              </w:rPr>
              <w:t>J172411SA799</w:t>
            </w:r>
          </w:p>
        </w:tc>
        <w:tc>
          <w:tcPr>
            <w:tcW w:w="383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" w:type="dxa"/>
              <w:left w:w="9" w:type="dxa"/>
              <w:right w:w="9" w:type="dxa"/>
            </w:tcMar>
            <w:vAlign w:val="top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cs="楷体" w:eastAsia="楷体"/>
              </w:rPr>
              <w:t>苏银理财恒源周开放1号A</w:t>
            </w:r>
          </w:p>
        </w:tc>
        <w:tc>
          <w:tcPr>
            <w:tcW w:w="2079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" w:type="dxa"/>
              <w:left w:w="9" w:type="dxa"/>
              <w:right w:w="9" w:type="dxa"/>
            </w:tcMar>
            <w:vAlign w:val="center"/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cs="楷体" w:eastAsia="楷体"/>
              </w:rPr>
              <w:t>1.63%</w:t>
            </w:r>
          </w:p>
        </w:tc>
      </w:tr>
      <w:tr>
        <w:trPr>
          <w:trHeight w:val="170" w:hRule="atLeast"/>
          <w:jc w:val="center"/>
        </w:trPr>
        <w:tc>
          <w:tcPr>
            <w:tcW w:w="270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" w:type="dxa"/>
              <w:left w:w="9" w:type="dxa"/>
              <w:right w:w="9" w:type="dxa"/>
            </w:tcMar>
            <w:vAlign w:val="top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cs="楷体" w:eastAsia="楷体"/>
              </w:rPr>
              <w:t>J172411SA79C</w:t>
            </w:r>
          </w:p>
        </w:tc>
        <w:tc>
          <w:tcPr>
            <w:tcW w:w="383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" w:type="dxa"/>
              <w:left w:w="9" w:type="dxa"/>
              <w:right w:w="9" w:type="dxa"/>
            </w:tcMar>
            <w:vAlign w:val="top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cs="楷体" w:eastAsia="楷体"/>
              </w:rPr>
              <w:t>苏银理财恒源周开放1号D</w:t>
            </w:r>
          </w:p>
        </w:tc>
        <w:tc>
          <w:tcPr>
            <w:tcW w:w="2079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" w:type="dxa"/>
              <w:left w:w="9" w:type="dxa"/>
              <w:right w:w="9" w:type="dxa"/>
            </w:tcMar>
            <w:vAlign w:val="center"/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cs="楷体" w:eastAsia="楷体"/>
              </w:rPr>
              <w:t>1.78%</w:t>
            </w:r>
          </w:p>
        </w:tc>
      </w:tr>
      <w:tr>
        <w:trPr>
          <w:trHeight w:val="170" w:hRule="atLeast"/>
          <w:jc w:val="center"/>
        </w:trPr>
        <w:tc>
          <w:tcPr>
            <w:tcW w:w="270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" w:type="dxa"/>
              <w:left w:w="9" w:type="dxa"/>
              <w:right w:w="9" w:type="dxa"/>
            </w:tcMar>
            <w:vAlign w:val="top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cs="楷体" w:eastAsia="楷体"/>
              </w:rPr>
              <w:t>J02479</w:t>
            </w:r>
          </w:p>
        </w:tc>
        <w:tc>
          <w:tcPr>
            <w:tcW w:w="383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" w:type="dxa"/>
              <w:left w:w="9" w:type="dxa"/>
              <w:right w:w="9" w:type="dxa"/>
            </w:tcMar>
            <w:vAlign w:val="top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cs="楷体" w:eastAsia="楷体"/>
              </w:rPr>
              <w:t>苏银理财恒源周开放1号E</w:t>
            </w:r>
          </w:p>
        </w:tc>
        <w:tc>
          <w:tcPr>
            <w:tcW w:w="2079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" w:type="dxa"/>
              <w:left w:w="9" w:type="dxa"/>
              <w:right w:w="9" w:type="dxa"/>
            </w:tcMar>
            <w:vAlign w:val="center"/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cs="楷体" w:eastAsia="楷体"/>
              </w:rPr>
              <w:t>1.89%</w:t>
            </w:r>
          </w:p>
        </w:tc>
      </w:tr>
      <w:tr>
        <w:trPr>
          <w:trHeight w:val="170" w:hRule="atLeast"/>
          <w:jc w:val="center"/>
        </w:trPr>
        <w:tc>
          <w:tcPr>
            <w:tcW w:w="270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" w:type="dxa"/>
              <w:left w:w="9" w:type="dxa"/>
              <w:right w:w="9" w:type="dxa"/>
            </w:tcMar>
            <w:vAlign w:val="top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cs="楷体" w:eastAsia="楷体"/>
              </w:rPr>
              <w:t>J01995</w:t>
            </w:r>
          </w:p>
        </w:tc>
        <w:tc>
          <w:tcPr>
            <w:tcW w:w="383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" w:type="dxa"/>
              <w:left w:w="9" w:type="dxa"/>
              <w:right w:w="9" w:type="dxa"/>
            </w:tcMar>
            <w:vAlign w:val="top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cs="楷体" w:eastAsia="楷体"/>
              </w:rPr>
              <w:t>苏银理财恒源周开放1号F</w:t>
            </w:r>
          </w:p>
        </w:tc>
        <w:tc>
          <w:tcPr>
            <w:tcW w:w="2079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" w:type="dxa"/>
              <w:left w:w="9" w:type="dxa"/>
              <w:right w:w="9" w:type="dxa"/>
            </w:tcMar>
            <w:vAlign w:val="center"/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cs="楷体" w:eastAsia="楷体"/>
              </w:rPr>
              <w:t>1.64%</w:t>
            </w:r>
          </w:p>
        </w:tc>
      </w:tr>
      <w:tr>
        <w:trPr>
          <w:trHeight w:val="170" w:hRule="atLeast"/>
          <w:jc w:val="center"/>
        </w:trPr>
        <w:tc>
          <w:tcPr>
            <w:tcW w:w="270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" w:type="dxa"/>
              <w:left w:w="9" w:type="dxa"/>
              <w:right w:w="9" w:type="dxa"/>
            </w:tcMar>
            <w:vAlign w:val="top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cs="楷体" w:eastAsia="楷体"/>
              </w:rPr>
              <w:t>J02462</w:t>
            </w:r>
          </w:p>
        </w:tc>
        <w:tc>
          <w:tcPr>
            <w:tcW w:w="383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" w:type="dxa"/>
              <w:left w:w="9" w:type="dxa"/>
              <w:right w:w="9" w:type="dxa"/>
            </w:tcMar>
            <w:vAlign w:val="top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cs="楷体" w:eastAsia="楷体"/>
              </w:rPr>
              <w:t>苏银理财恒源周开放1号G</w:t>
            </w:r>
          </w:p>
        </w:tc>
        <w:tc>
          <w:tcPr>
            <w:tcW w:w="2079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" w:type="dxa"/>
              <w:left w:w="9" w:type="dxa"/>
              <w:right w:w="9" w:type="dxa"/>
            </w:tcMar>
            <w:vAlign w:val="center"/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cs="楷体" w:eastAsia="楷体"/>
              </w:rPr>
              <w:t>1.73%</w:t>
            </w:r>
          </w:p>
        </w:tc>
      </w:tr>
      <w:tr>
        <w:trPr>
          <w:trHeight w:val="170" w:hRule="atLeast"/>
          <w:jc w:val="center"/>
        </w:trPr>
        <w:tc>
          <w:tcPr>
            <w:tcW w:w="270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" w:type="dxa"/>
              <w:left w:w="9" w:type="dxa"/>
              <w:right w:w="9" w:type="dxa"/>
            </w:tcMar>
            <w:vAlign w:val="top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cs="楷体" w:eastAsia="楷体"/>
              </w:rPr>
              <w:t>J10844</w:t>
            </w:r>
          </w:p>
        </w:tc>
        <w:tc>
          <w:tcPr>
            <w:tcW w:w="383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" w:type="dxa"/>
              <w:left w:w="9" w:type="dxa"/>
              <w:right w:w="9" w:type="dxa"/>
            </w:tcMar>
            <w:vAlign w:val="top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cs="楷体" w:eastAsia="楷体"/>
              </w:rPr>
              <w:t>苏银理财恒源周开放1号H</w:t>
            </w:r>
          </w:p>
        </w:tc>
        <w:tc>
          <w:tcPr>
            <w:tcW w:w="2079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" w:type="dxa"/>
              <w:left w:w="9" w:type="dxa"/>
              <w:right w:w="9" w:type="dxa"/>
            </w:tcMar>
            <w:vAlign w:val="center"/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cs="楷体" w:eastAsia="楷体"/>
              </w:rPr>
              <w:t>1.64%</w:t>
            </w:r>
          </w:p>
        </w:tc>
      </w:tr>
      <w:tr>
        <w:trPr>
          <w:trHeight w:val="170" w:hRule="atLeast"/>
          <w:jc w:val="center"/>
        </w:trPr>
        <w:tc>
          <w:tcPr>
            <w:tcW w:w="270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" w:type="dxa"/>
              <w:left w:w="9" w:type="dxa"/>
              <w:right w:w="9" w:type="dxa"/>
            </w:tcMar>
            <w:vAlign w:val="top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cs="楷体" w:eastAsia="楷体"/>
              </w:rPr>
              <w:t>J02568</w:t>
            </w:r>
          </w:p>
        </w:tc>
        <w:tc>
          <w:tcPr>
            <w:tcW w:w="383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" w:type="dxa"/>
              <w:left w:w="9" w:type="dxa"/>
              <w:right w:w="9" w:type="dxa"/>
            </w:tcMar>
            <w:vAlign w:val="top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cs="楷体" w:eastAsia="楷体"/>
              </w:rPr>
              <w:t>苏银理财恒源周开放1号W</w:t>
            </w:r>
          </w:p>
        </w:tc>
        <w:tc>
          <w:tcPr>
            <w:tcW w:w="2079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" w:type="dxa"/>
              <w:left w:w="9" w:type="dxa"/>
              <w:right w:w="9" w:type="dxa"/>
            </w:tcMar>
            <w:vAlign w:val="center"/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cs="楷体" w:eastAsia="楷体"/>
              </w:rPr>
              <w:t>1.54%</w:t>
            </w:r>
          </w:p>
        </w:tc>
      </w:tr>
      <w:tr>
        <w:trPr>
          <w:trHeight w:val="170" w:hRule="atLeast"/>
          <w:jc w:val="center"/>
        </w:trPr>
        <w:tc>
          <w:tcPr>
            <w:tcW w:w="270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" w:type="dxa"/>
              <w:left w:w="9" w:type="dxa"/>
              <w:right w:w="9" w:type="dxa"/>
            </w:tcMar>
            <w:vAlign w:val="top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cs="楷体" w:eastAsia="楷体"/>
              </w:rPr>
              <w:t>J172411SA79B</w:t>
            </w:r>
          </w:p>
        </w:tc>
        <w:tc>
          <w:tcPr>
            <w:tcW w:w="383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" w:type="dxa"/>
              <w:left w:w="9" w:type="dxa"/>
              <w:right w:w="9" w:type="dxa"/>
            </w:tcMar>
            <w:vAlign w:val="top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cs="楷体" w:eastAsia="楷体"/>
              </w:rPr>
              <w:t>苏银理财恒源周开放1号（代发专享）</w:t>
            </w:r>
          </w:p>
        </w:tc>
        <w:tc>
          <w:tcPr>
            <w:tcW w:w="2079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" w:type="dxa"/>
              <w:left w:w="9" w:type="dxa"/>
              <w:right w:w="9" w:type="dxa"/>
            </w:tcMar>
            <w:vAlign w:val="center"/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cs="楷体" w:eastAsia="楷体"/>
              </w:rPr>
              <w:t>1.69%</w:t>
            </w:r>
          </w:p>
        </w:tc>
      </w:tr>
    </w:tbl>
    <w:p>
      <w:pPr>
        <w:widowControl/>
        <w:spacing w:line="0" w:lineRule="atLeast"/>
        <w:jc w:val="left"/>
        <w:rPr>
          <w:rFonts w:hint="eastAsia" w:ascii="楷体" w:hAnsi="楷体" w:eastAsia="楷体" w:cs="楷体"/>
          <w:color w:val="000000"/>
          <w:kern w:val="0"/>
          <w:sz w:val="20"/>
          <w:szCs w:val="20"/>
        </w:rPr>
      </w:pPr>
    </w:p>
    <w:p>
      <w:pPr>
        <w:widowControl/>
        <w:ind w:firstLine="540" w:firstLineChars="200"/>
        <w:jc w:val="left"/>
        <w:rPr>
          <w:rFonts w:ascii="楷体" w:hAnsi="楷体" w:eastAsia="楷体" w:cs="楷体"/>
          <w:color w:val="000000"/>
          <w:kern w:val="0"/>
          <w:sz w:val="27"/>
          <w:szCs w:val="27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过往业绩仅供参考，不代表未来表现，不等于理财产品实际收益，投资须谨慎。</w:t>
      </w:r>
    </w:p>
    <w:p>
      <w:pPr>
        <w:widowControl/>
        <w:ind w:firstLine="540" w:firstLineChars="200"/>
        <w:jc w:val="left"/>
        <w:rPr>
          <w:rFonts w:ascii="楷体" w:hAnsi="楷体" w:eastAsia="楷体" w:cs="楷体"/>
          <w:color w:val="000000"/>
          <w:kern w:val="0"/>
          <w:sz w:val="27"/>
          <w:szCs w:val="27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特此公告。</w:t>
      </w:r>
    </w:p>
    <w:p>
      <w:pPr>
        <w:widowControl/>
        <w:ind w:firstLine="540" w:firstLineChars="200"/>
        <w:jc w:val="right"/>
        <w:rPr>
          <w:rFonts w:ascii="楷体" w:hAnsi="楷体" w:eastAsia="楷体" w:cs="楷体"/>
          <w:color w:val="000000"/>
          <w:kern w:val="0"/>
          <w:sz w:val="27"/>
          <w:szCs w:val="27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苏银理财有限责任公司</w:t>
      </w:r>
    </w:p>
    <w:p>
      <w:pPr>
        <w:widowControl/>
        <w:ind w:firstLine="540" w:firstLineChars="200"/>
        <w:jc w:val="right"/>
        <w:rPr>
          <w:rFonts w:ascii="楷体" w:hAnsi="楷体" w:eastAsia="楷体" w:cs="楷体"/>
          <w:color w:val="000000"/>
          <w:kern w:val="0"/>
          <w:sz w:val="27"/>
          <w:szCs w:val="27"/>
        </w:rPr>
      </w:pPr>
      <w:r>
        <w:rPr>
          <w:rFonts w:ascii="楷体" w:hAnsi="楷体" w:eastAsia="楷体" w:cs="楷体"/>
          <w:color w:val="000000"/>
          <w:kern w:val="0"/>
          <w:sz w:val="27"/>
          <w:szCs w:val="27"/>
        </w:rPr>
        <w:t>2026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年</w:t>
      </w:r>
      <w:r>
        <w:rPr>
          <w:rFonts w:ascii="楷体" w:hAnsi="楷体" w:eastAsia="楷体" w:cs="楷体"/>
          <w:color w:val="000000"/>
          <w:kern w:val="0"/>
          <w:sz w:val="27"/>
          <w:szCs w:val="27"/>
        </w:rPr>
        <w:t>4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月</w:t>
      </w:r>
      <w:r>
        <w:rPr>
          <w:rFonts w:ascii="楷体" w:hAnsi="楷体" w:eastAsia="楷体" w:cs="楷体"/>
          <w:color w:val="000000"/>
          <w:kern w:val="0"/>
          <w:sz w:val="27"/>
          <w:szCs w:val="27"/>
        </w:rPr>
        <w:t>9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日</w:t>
      </w:r>
    </w:p>
    <w:p>
      <w:pPr>
        <w:rPr>
          <w:rFonts w:ascii="楷体" w:hAnsi="楷体" w:eastAsia="楷体" w:cs="楷体"/>
        </w:rPr>
      </w:pPr>
    </w:p>
    <w:p>
      <w:pPr>
        <w:rPr>
          <w:rFonts w:ascii="楷体" w:hAnsi="楷体" w:eastAsia="楷体" w:cs="楷体"/>
        </w:rPr>
      </w:pPr>
      <w:r>
        <w:rPr>
          <w:rFonts w:hint="eastAsia" w:ascii="楷体" w:hAnsi="楷体" w:eastAsia="楷体" w:cs="楷体"/>
        </w:rPr>
        <w:t>备注：本次披露内容解释权归苏银理财所有，不构成任何形式的法律要约或承诺。</w:t>
      </w:r>
    </w:p>
    <w:sectPr>
      <w:headerReference r:id="rId5" w:type="first"/>
      <w:headerReference r:id="rId3" w:type="default"/>
      <w:footerReference r:id="rId6" w:type="default"/>
      <w:headerReference r:id="rId4" w:type="even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jc w:val="center"/>
    </w:pPr>
    <w:r>
      <w:rPr>
        <w:lang w:val="zh-CN"/>
      </w:rPr>
      <w:t xml:space="preserve">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1</w:t>
    </w:r>
    <w:r>
      <w:rPr>
        <w:b/>
        <w:bCs/>
        <w:sz w:val="24"/>
        <w:szCs w:val="24"/>
      </w:rPr>
      <w:fldChar w:fldCharType="end"/>
    </w:r>
  </w:p>
  <w:p>
    <w:pPr>
      <w:pStyle w:val="5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kinsoku w:val="0"/>
      <w:overflowPunct w:val="0"/>
      <w:spacing w:before="0" w:line="320" w:lineRule="exact"/>
      <w:ind w:left="20"/>
      <w:jc w:val="both"/>
      <w:rPr>
        <w:rFonts w:ascii="楷体" w:hAnsi="楷体" w:eastAsia="楷体" w:cs="黑体"/>
        <w:b/>
        <w:spacing w:val="-2"/>
        <w:sz w:val="24"/>
        <w:szCs w:val="24"/>
      </w:rPr>
    </w:pPr>
    <w:r>
      <w:rPr>
        <w:rFonts w:ascii="楷体" w:hAnsi="楷体" w:eastAsia="楷体"/>
        <w:b/>
      </w:rPr>
      <w:pict>
        <v:shape id="WordPictureWatermark367128483" o:spid="_x0000_s4098" o:spt="75" type="#_x0000_t75" style="position:absolute;left:0pt;height:862.85pt;width:1137.35pt;mso-position-horizontal:center;mso-position-horizontal-relative:margin;mso-position-vertical:center;mso-position-vertical-relative:margin;z-index:-251655168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gain="19661f" blacklevel="22938f" o:title="苏银理财"/>
          <o:lock v:ext="edit" aspectratio="t"/>
        </v:shape>
      </w:pict>
    </w:r>
    <w:r>
      <w:drawing>
        <wp:anchor distT="0" distB="0" distL="114300" distR="114300" simplePos="0" relativeHeight="251662336" behindDoc="0" locked="0" layoutInCell="1" allowOverlap="1">
          <wp:simplePos x="0" y="0"/>
          <wp:positionH relativeFrom="column">
            <wp:posOffset>3923665</wp:posOffset>
          </wp:positionH>
          <wp:positionV relativeFrom="paragraph">
            <wp:posOffset>-95250</wp:posOffset>
          </wp:positionV>
          <wp:extent cx="1325245" cy="424815"/>
          <wp:effectExtent l="0" t="0" r="8255" b="0"/>
          <wp:wrapSquare wrapText="bothSides"/>
          <wp:docPr id="1" name="图片 1" descr="说明: 说明: C:\Users\JSYH\Desktop\苏银理财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说明: 说明: C:\Users\JSYH\Desktop\苏银理财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325245" cy="424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 w:ascii="楷体" w:hAnsi="楷体" w:eastAsia="楷体" w:cs="黑体"/>
        <w:b/>
        <w:bCs/>
        <w:spacing w:val="-2"/>
        <w:sz w:val="24"/>
        <w:szCs w:val="24"/>
      </w:rPr>
      <w:t>理财非存款、产品有风险、投资须谨慎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  <w:r>
      <w:pict>
        <v:shape id="WordPictureWatermark367128482" o:spid="_x0000_s4099" o:spt="75" type="#_x0000_t75" style="position:absolute;left:0pt;height:862.85pt;width:1137.35pt;mso-position-horizontal:center;mso-position-horizontal-relative:margin;mso-position-vertical:center;mso-position-vertical-relative:margin;z-index:-251656192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gain="19661f" blacklevel="22938f" o:title="苏银理财"/>
          <o:lock v:ext="edit" aspectratio="t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  <w:r>
      <w:pict>
        <v:shape id="WordPictureWatermark367128481" o:spid="_x0000_s4097" o:spt="75" type="#_x0000_t75" style="position:absolute;left:0pt;height:862.85pt;width:1137.35pt;mso-position-horizontal:center;mso-position-horizontal-relative:margin;mso-position-vertical:center;mso-position-vertical-relative:margin;z-index:-251657216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gain="19661f" blacklevel="22938f" o:title="苏银理财"/>
          <o:lock v:ext="edit" aspectratio="t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mI0ZjE2ZGJmODM3N2NiNDJiYWY5YjdkYWE5MWQwMWMifQ=="/>
  </w:docVars>
  <w:rsids>
    <w:rsidRoot w:val="00C82298"/>
    <w:rsid w:val="00060B3C"/>
    <w:rsid w:val="000C729A"/>
    <w:rsid w:val="00191CA7"/>
    <w:rsid w:val="002010EC"/>
    <w:rsid w:val="00212BF8"/>
    <w:rsid w:val="00246CD5"/>
    <w:rsid w:val="002A12A3"/>
    <w:rsid w:val="002E297E"/>
    <w:rsid w:val="002F4B1C"/>
    <w:rsid w:val="00384393"/>
    <w:rsid w:val="00444F66"/>
    <w:rsid w:val="0053098E"/>
    <w:rsid w:val="0056651E"/>
    <w:rsid w:val="00572614"/>
    <w:rsid w:val="0066652C"/>
    <w:rsid w:val="00676A42"/>
    <w:rsid w:val="006B59C2"/>
    <w:rsid w:val="007C1CB0"/>
    <w:rsid w:val="007D2760"/>
    <w:rsid w:val="00805935"/>
    <w:rsid w:val="00812D85"/>
    <w:rsid w:val="008420B9"/>
    <w:rsid w:val="008626CF"/>
    <w:rsid w:val="008E2898"/>
    <w:rsid w:val="00905588"/>
    <w:rsid w:val="009D169F"/>
    <w:rsid w:val="00A9591A"/>
    <w:rsid w:val="00AE1428"/>
    <w:rsid w:val="00B0267E"/>
    <w:rsid w:val="00BC44F4"/>
    <w:rsid w:val="00C15EF6"/>
    <w:rsid w:val="00C82298"/>
    <w:rsid w:val="00CB3B08"/>
    <w:rsid w:val="00CC1DB4"/>
    <w:rsid w:val="00D12FB8"/>
    <w:rsid w:val="00D14797"/>
    <w:rsid w:val="00D71270"/>
    <w:rsid w:val="00E72933"/>
    <w:rsid w:val="00F82353"/>
    <w:rsid w:val="08840E57"/>
    <w:rsid w:val="409A6CA3"/>
    <w:rsid w:val="472332B4"/>
    <w:rsid w:val="479A3771"/>
    <w:rsid w:val="6F00275F"/>
    <w:rsid w:val="73BD3516"/>
    <w:rsid w:val="73F809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1"/>
    <w:unhideWhenUsed/>
    <w:qFormat/>
    <w:uiPriority w:val="99"/>
    <w:pPr>
      <w:jc w:val="left"/>
    </w:pPr>
  </w:style>
  <w:style w:type="paragraph" w:styleId="3">
    <w:name w:val="Body Text"/>
    <w:basedOn w:val="1"/>
    <w:link w:val="12"/>
    <w:qFormat/>
    <w:uiPriority w:val="1"/>
    <w:pPr>
      <w:autoSpaceDE w:val="0"/>
      <w:autoSpaceDN w:val="0"/>
      <w:adjustRightInd w:val="0"/>
      <w:spacing w:before="162"/>
      <w:ind w:left="120"/>
      <w:jc w:val="left"/>
    </w:pPr>
    <w:rPr>
      <w:rFonts w:ascii="宋体"/>
      <w:kern w:val="0"/>
      <w:sz w:val="20"/>
      <w:szCs w:val="21"/>
    </w:rPr>
  </w:style>
  <w:style w:type="paragraph" w:styleId="4">
    <w:name w:val="Balloon Text"/>
    <w:basedOn w:val="1"/>
    <w:link w:val="15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3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6">
    <w:name w:val="header"/>
    <w:basedOn w:val="1"/>
    <w:link w:val="1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7">
    <w:name w:val="annotation subject"/>
    <w:basedOn w:val="2"/>
    <w:next w:val="2"/>
    <w:link w:val="16"/>
    <w:semiHidden/>
    <w:unhideWhenUsed/>
    <w:qFormat/>
    <w:uiPriority w:val="99"/>
    <w:rPr>
      <w:b/>
      <w:bCs/>
    </w:rPr>
  </w:style>
  <w:style w:type="character" w:styleId="10">
    <w:name w:val="annotation reference"/>
    <w:basedOn w:val="9"/>
    <w:semiHidden/>
    <w:unhideWhenUsed/>
    <w:qFormat/>
    <w:uiPriority w:val="99"/>
    <w:rPr>
      <w:sz w:val="21"/>
      <w:szCs w:val="21"/>
    </w:rPr>
  </w:style>
  <w:style w:type="character" w:customStyle="1" w:styleId="11">
    <w:name w:val="批注文字 字符"/>
    <w:basedOn w:val="9"/>
    <w:link w:val="2"/>
    <w:qFormat/>
    <w:uiPriority w:val="99"/>
    <w:rPr>
      <w:rFonts w:ascii="Times New Roman" w:hAnsi="Times New Roman" w:eastAsia="宋体" w:cs="Times New Roman"/>
    </w:rPr>
  </w:style>
  <w:style w:type="character" w:customStyle="1" w:styleId="12">
    <w:name w:val="正文文本 字符"/>
    <w:basedOn w:val="9"/>
    <w:link w:val="3"/>
    <w:qFormat/>
    <w:uiPriority w:val="1"/>
    <w:rPr>
      <w:rFonts w:ascii="宋体" w:hAnsi="Times New Roman" w:eastAsia="宋体" w:cs="Times New Roman"/>
      <w:kern w:val="0"/>
      <w:sz w:val="20"/>
      <w:szCs w:val="21"/>
    </w:rPr>
  </w:style>
  <w:style w:type="character" w:customStyle="1" w:styleId="13">
    <w:name w:val="页脚 字符"/>
    <w:basedOn w:val="9"/>
    <w:link w:val="5"/>
    <w:qFormat/>
    <w:uiPriority w:val="99"/>
    <w:rPr>
      <w:rFonts w:ascii="Times New Roman" w:hAnsi="Times New Roman" w:eastAsia="宋体" w:cs="Times New Roman"/>
      <w:kern w:val="0"/>
      <w:sz w:val="18"/>
      <w:szCs w:val="18"/>
    </w:rPr>
  </w:style>
  <w:style w:type="character" w:customStyle="1" w:styleId="14">
    <w:name w:val="页眉 字符"/>
    <w:basedOn w:val="9"/>
    <w:link w:val="6"/>
    <w:qFormat/>
    <w:uiPriority w:val="99"/>
    <w:rPr>
      <w:rFonts w:ascii="Times New Roman" w:hAnsi="Times New Roman" w:eastAsia="宋体" w:cs="Times New Roman"/>
      <w:kern w:val="0"/>
      <w:sz w:val="18"/>
      <w:szCs w:val="18"/>
    </w:rPr>
  </w:style>
  <w:style w:type="character" w:customStyle="1" w:styleId="15">
    <w:name w:val="批注框文本 字符"/>
    <w:basedOn w:val="9"/>
    <w:link w:val="4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6">
    <w:name w:val="批注主题 字符"/>
    <w:basedOn w:val="11"/>
    <w:link w:val="7"/>
    <w:semiHidden/>
    <w:qFormat/>
    <w:uiPriority w:val="99"/>
    <w:rPr>
      <w:rFonts w:ascii="Times New Roman" w:hAnsi="Times New Roman" w:eastAsia="宋体" w:cs="Times New Roman"/>
      <w:b/>
      <w:bCs/>
    </w:rPr>
  </w:style>
</w:styles>
</file>

<file path=word/_rels/document.xml.rels><?xml version="1.0" encoding="UTF-8" standalone="yes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theme/theme1.xml" Type="http://schemas.openxmlformats.org/officeDocument/2006/relationships/theme"/><Relationship Id="rId8" Target="../customXml/item1.xml" Type="http://schemas.openxmlformats.org/officeDocument/2006/relationships/customXml"/><Relationship Id="rId9" Target="fontTable.xml" Type="http://schemas.openxmlformats.org/officeDocument/2006/relationships/fontTable"/></Relationships>
</file>

<file path=word/_rels/head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Relationship Id="rId2" Target="media/image2.png" Type="http://schemas.openxmlformats.org/officeDocument/2006/relationships/image"/></Relationships>
</file>

<file path=word/_rels/head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header3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  <customShpInfo spid="_x0000_s4099"/>
    <customShpInfo spid="_x0000_s409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WORKGROUP</Company>
  <Pages>1</Pages>
  <Words>271</Words>
  <Characters>686</Characters>
  <Lines>5</Lines>
  <Paragraphs>1</Paragraphs>
  <TotalTime>0</TotalTime>
  <ScaleCrop>false</ScaleCrop>
  <LinksUpToDate>false</LinksUpToDate>
  <CharactersWithSpaces>687</CharactersWithSpaces>
  <Application>WPS Office_11.8.2.11734_F1E327BC-269C-435d-A152-05C5408002CA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2023-08-01T10:40:00Z</dcterms:created>
  <dc:creator>User</dc:creator>
  <cp:lastModifiedBy>User</cp:lastModifiedBy>
  <dcterms:modified xsi:type="dcterms:W3CDTF">2025-06-23T07:52:24Z</dcterms:modified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2052-11.8.2.11734</vt:lpwstr>
  </property>
  <property fmtid="{D5CDD505-2E9C-101B-9397-08002B2CF9AE}" pid="3" name="ICV">
    <vt:lpwstr>B6DFC727162244C79636D651D7D6EB42</vt:lpwstr>
  </property>
</Properties>
</file>