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AEB55" w14:textId="77777777" w:rsidR="00B617E9" w:rsidRDefault="00B617E9">
      <w:pPr>
        <w:spacing w:before="240" w:after="72" w:line="360" w:lineRule="auto"/>
        <w:jc w:val="center"/>
        <w:rPr>
          <w:rFonts w:asciiTheme="minorEastAsia" w:eastAsiaTheme="minorEastAsia" w:hAnsiTheme="minorEastAsia"/>
        </w:rPr>
      </w:pPr>
    </w:p>
    <w:p w14:paraId="0062EB88" w14:textId="77777777" w:rsidR="00B617E9" w:rsidRDefault="00B617E9">
      <w:pPr>
        <w:spacing w:before="240" w:after="72" w:line="360" w:lineRule="auto"/>
        <w:jc w:val="center"/>
        <w:rPr>
          <w:rFonts w:asciiTheme="minorEastAsia" w:eastAsiaTheme="minorEastAsia" w:hAnsiTheme="minorEastAsia"/>
        </w:rPr>
      </w:pPr>
    </w:p>
    <w:p w14:paraId="6DF2771A" w14:textId="77777777" w:rsidR="00B617E9" w:rsidRDefault="00B617E9">
      <w:pPr>
        <w:spacing w:before="240" w:after="72" w:line="360" w:lineRule="auto"/>
        <w:jc w:val="center"/>
        <w:rPr>
          <w:rFonts w:asciiTheme="minorEastAsia" w:eastAsiaTheme="minorEastAsia" w:hAnsiTheme="minorEastAsia"/>
        </w:rPr>
      </w:pPr>
    </w:p>
    <w:p w14:paraId="09D01138" w14:textId="77777777" w:rsidR="00B617E9" w:rsidRDefault="00D32DEC">
      <w:pPr>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南银理财珠联璧合鑫悦享</w:t>
      </w:r>
      <w:r>
        <w:rPr>
          <w:rFonts w:ascii="方正黑体简体" w:eastAsia="方正黑体简体" w:hAnsi="Calibri" w:hint="eastAsia"/>
          <w:sz w:val="36"/>
        </w:rPr>
        <w:t>1912</w:t>
      </w:r>
      <w:r>
        <w:rPr>
          <w:rFonts w:ascii="方正黑体简体" w:eastAsia="方正黑体简体" w:hAnsi="Calibri" w:hint="eastAsia"/>
          <w:sz w:val="36"/>
        </w:rPr>
        <w:t>三个月定开公募人民币理财产品</w:t>
      </w:r>
    </w:p>
    <w:p w14:paraId="0E313B15" w14:textId="77777777" w:rsidR="00B617E9" w:rsidRDefault="00D32DEC">
      <w:pPr>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2025</w:t>
      </w:r>
      <w:r>
        <w:rPr>
          <w:rFonts w:ascii="方正黑体简体" w:eastAsia="方正黑体简体" w:hAnsi="Calibri" w:hint="eastAsia"/>
          <w:sz w:val="36"/>
        </w:rPr>
        <w:t>年第</w:t>
      </w:r>
      <w:r>
        <w:rPr>
          <w:rFonts w:ascii="方正黑体简体" w:eastAsia="方正黑体简体" w:hAnsi="Calibri" w:hint="eastAsia"/>
          <w:sz w:val="36"/>
        </w:rPr>
        <w:t>4</w:t>
      </w:r>
      <w:r>
        <w:rPr>
          <w:rFonts w:ascii="方正黑体简体" w:eastAsia="方正黑体简体" w:hAnsi="Calibri" w:hint="eastAsia"/>
          <w:sz w:val="36"/>
        </w:rPr>
        <w:t>季度报告</w:t>
      </w:r>
    </w:p>
    <w:p w14:paraId="11B44EC7" w14:textId="77777777" w:rsidR="00B617E9" w:rsidRDefault="00B617E9">
      <w:pPr>
        <w:spacing w:before="240" w:after="72" w:line="360" w:lineRule="auto"/>
        <w:jc w:val="center"/>
        <w:rPr>
          <w:rFonts w:ascii="方正黑体简体" w:eastAsia="方正黑体简体"/>
          <w:sz w:val="36"/>
          <w:szCs w:val="36"/>
        </w:rPr>
      </w:pPr>
    </w:p>
    <w:p w14:paraId="4D3ED9F8" w14:textId="77777777" w:rsidR="00B617E9" w:rsidRDefault="00B617E9">
      <w:pPr>
        <w:spacing w:before="240" w:after="72" w:line="360" w:lineRule="auto"/>
        <w:jc w:val="center"/>
        <w:rPr>
          <w:rFonts w:ascii="方正黑体简体" w:eastAsia="方正黑体简体"/>
          <w:sz w:val="36"/>
          <w:szCs w:val="36"/>
        </w:rPr>
      </w:pPr>
    </w:p>
    <w:p w14:paraId="7F3CE957" w14:textId="77777777" w:rsidR="00B617E9" w:rsidRDefault="00B617E9">
      <w:pPr>
        <w:spacing w:before="240" w:after="72" w:line="360" w:lineRule="auto"/>
        <w:jc w:val="center"/>
        <w:rPr>
          <w:rFonts w:ascii="方正黑体简体" w:eastAsia="方正黑体简体"/>
          <w:sz w:val="36"/>
          <w:szCs w:val="36"/>
        </w:rPr>
      </w:pPr>
    </w:p>
    <w:p w14:paraId="5ED09E2C" w14:textId="77777777" w:rsidR="00B617E9" w:rsidRDefault="00B617E9">
      <w:pPr>
        <w:spacing w:before="240" w:after="72" w:line="360" w:lineRule="auto"/>
        <w:jc w:val="center"/>
        <w:rPr>
          <w:rFonts w:ascii="方正黑体简体" w:eastAsia="方正黑体简体"/>
          <w:sz w:val="36"/>
          <w:szCs w:val="36"/>
        </w:rPr>
      </w:pPr>
    </w:p>
    <w:p w14:paraId="0450E9A9"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14:paraId="2F20AC8C"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14:paraId="13883A86" w14:textId="77777777" w:rsidR="00B617E9" w:rsidRDefault="00B617E9">
      <w:pPr>
        <w:spacing w:before="240" w:after="72" w:line="360" w:lineRule="auto"/>
        <w:jc w:val="center"/>
        <w:rPr>
          <w:rFonts w:ascii="方正黑体简体" w:eastAsia="方正黑体简体"/>
          <w:sz w:val="36"/>
          <w:szCs w:val="36"/>
        </w:rPr>
      </w:pPr>
    </w:p>
    <w:p w14:paraId="6C39DAFA" w14:textId="77777777" w:rsidR="00B617E9" w:rsidRDefault="00D32DEC">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14:paraId="0292A0C9"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4"/>
        <w:gridCol w:w="6065"/>
      </w:tblGrid>
      <w:tr w:rsidR="00B617E9" w14:paraId="1285434F" w14:textId="77777777">
        <w:trPr>
          <w:trHeight w:val="663"/>
          <w:jc w:val="center"/>
        </w:trPr>
        <w:tc>
          <w:tcPr>
            <w:tcW w:w="2894" w:type="dxa"/>
            <w:vAlign w:val="center"/>
          </w:tcPr>
          <w:p w14:paraId="4E2EEB27"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产品全称</w:t>
            </w:r>
          </w:p>
        </w:tc>
        <w:tc>
          <w:tcPr>
            <w:tcW w:w="6065" w:type="dxa"/>
            <w:vAlign w:val="center"/>
          </w:tcPr>
          <w:p w14:paraId="7900107B"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南银理财珠联璧合鑫悦享</w:t>
            </w:r>
            <w:r>
              <w:rPr>
                <w:rFonts w:ascii="方正仿宋简体" w:eastAsia="方正仿宋简体" w:hint="eastAsia"/>
                <w:sz w:val="24"/>
                <w:szCs w:val="24"/>
              </w:rPr>
              <w:t>1912</w:t>
            </w:r>
            <w:r>
              <w:rPr>
                <w:rFonts w:ascii="方正仿宋简体" w:eastAsia="方正仿宋简体" w:hint="eastAsia"/>
                <w:sz w:val="24"/>
                <w:szCs w:val="24"/>
              </w:rPr>
              <w:t>三个月定开公募人民币理财产品</w:t>
            </w:r>
          </w:p>
        </w:tc>
      </w:tr>
      <w:tr w:rsidR="00B617E9" w14:paraId="64251DC7" w14:textId="77777777">
        <w:trPr>
          <w:trHeight w:val="1207"/>
          <w:jc w:val="center"/>
        </w:trPr>
        <w:tc>
          <w:tcPr>
            <w:tcW w:w="2894" w:type="dxa"/>
            <w:vAlign w:val="center"/>
          </w:tcPr>
          <w:p w14:paraId="1D73F4A9"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产品登记编码</w:t>
            </w:r>
          </w:p>
        </w:tc>
        <w:tc>
          <w:tcPr>
            <w:tcW w:w="6065" w:type="dxa"/>
            <w:vAlign w:val="center"/>
          </w:tcPr>
          <w:p w14:paraId="047DAB66"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Z7003220000011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617E9" w14:paraId="3C726B6A" w14:textId="77777777">
        <w:trPr>
          <w:trHeight w:val="663"/>
          <w:jc w:val="center"/>
        </w:trPr>
        <w:tc>
          <w:tcPr>
            <w:tcW w:w="2894" w:type="dxa"/>
            <w:vAlign w:val="center"/>
          </w:tcPr>
          <w:p w14:paraId="7EF43E32"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产品运作方式</w:t>
            </w:r>
          </w:p>
        </w:tc>
        <w:tc>
          <w:tcPr>
            <w:tcW w:w="6065" w:type="dxa"/>
            <w:vAlign w:val="center"/>
          </w:tcPr>
          <w:p w14:paraId="7B02FB5F"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开放式净值型</w:t>
            </w:r>
          </w:p>
        </w:tc>
      </w:tr>
      <w:tr w:rsidR="00B617E9" w14:paraId="257A7742" w14:textId="77777777">
        <w:trPr>
          <w:trHeight w:val="663"/>
          <w:jc w:val="center"/>
        </w:trPr>
        <w:tc>
          <w:tcPr>
            <w:tcW w:w="2894" w:type="dxa"/>
            <w:vAlign w:val="center"/>
          </w:tcPr>
          <w:p w14:paraId="0C8F9DBF"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产品成立日</w:t>
            </w:r>
          </w:p>
        </w:tc>
        <w:tc>
          <w:tcPr>
            <w:tcW w:w="6065" w:type="dxa"/>
            <w:vAlign w:val="center"/>
          </w:tcPr>
          <w:p w14:paraId="7CA372DD"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2019</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18</w:t>
            </w:r>
            <w:r>
              <w:rPr>
                <w:rFonts w:ascii="方正仿宋简体" w:eastAsia="方正仿宋简体" w:hint="eastAsia"/>
                <w:sz w:val="24"/>
                <w:szCs w:val="24"/>
              </w:rPr>
              <w:t>日</w:t>
            </w:r>
          </w:p>
        </w:tc>
      </w:tr>
      <w:tr w:rsidR="00B617E9" w14:paraId="1EF0E94C" w14:textId="77777777">
        <w:trPr>
          <w:trHeight w:val="663"/>
          <w:jc w:val="center"/>
        </w:trPr>
        <w:tc>
          <w:tcPr>
            <w:tcW w:w="2894" w:type="dxa"/>
            <w:vAlign w:val="center"/>
          </w:tcPr>
          <w:p w14:paraId="663DD2E6"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报告期末产品份额总额</w:t>
            </w:r>
          </w:p>
        </w:tc>
        <w:tc>
          <w:tcPr>
            <w:tcW w:w="6065" w:type="dxa"/>
            <w:vAlign w:val="center"/>
          </w:tcPr>
          <w:p w14:paraId="6CD0BD09"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1,664,260,384.08</w:t>
            </w:r>
            <w:r>
              <w:rPr>
                <w:rFonts w:ascii="方正仿宋简体" w:eastAsia="方正仿宋简体" w:hint="eastAsia"/>
                <w:sz w:val="24"/>
                <w:szCs w:val="24"/>
              </w:rPr>
              <w:t>份</w:t>
            </w:r>
          </w:p>
        </w:tc>
      </w:tr>
      <w:tr w:rsidR="00B617E9" w14:paraId="0AA8F5BA" w14:textId="77777777">
        <w:trPr>
          <w:trHeight w:val="639"/>
          <w:jc w:val="center"/>
        </w:trPr>
        <w:tc>
          <w:tcPr>
            <w:tcW w:w="2894" w:type="dxa"/>
            <w:vAlign w:val="center"/>
          </w:tcPr>
          <w:p w14:paraId="1B32D929"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合作机构</w:t>
            </w:r>
          </w:p>
        </w:tc>
        <w:tc>
          <w:tcPr>
            <w:tcW w:w="6065" w:type="dxa"/>
            <w:vAlign w:val="center"/>
          </w:tcPr>
          <w:p w14:paraId="08C1B77D"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紫金信托有限责任公司</w:t>
            </w:r>
            <w:r>
              <w:rPr>
                <w:rFonts w:ascii="方正仿宋简体" w:eastAsia="方正仿宋简体" w:hint="eastAsia"/>
                <w:sz w:val="24"/>
                <w:szCs w:val="24"/>
              </w:rPr>
              <w:t>,</w:t>
            </w:r>
            <w:r>
              <w:rPr>
                <w:rFonts w:ascii="方正仿宋简体" w:eastAsia="方正仿宋简体" w:hint="eastAsia"/>
                <w:sz w:val="24"/>
                <w:szCs w:val="24"/>
              </w:rPr>
              <w:t>鑫沅资产管理有限公司</w:t>
            </w:r>
            <w:r>
              <w:rPr>
                <w:rFonts w:ascii="方正仿宋简体" w:eastAsia="方正仿宋简体" w:hint="eastAsia"/>
                <w:sz w:val="24"/>
                <w:szCs w:val="24"/>
              </w:rPr>
              <w:t>,</w:t>
            </w:r>
            <w:r>
              <w:rPr>
                <w:rFonts w:ascii="方正仿宋简体" w:eastAsia="方正仿宋简体" w:hint="eastAsia"/>
                <w:sz w:val="24"/>
                <w:szCs w:val="24"/>
              </w:rPr>
              <w:t>陆家嘴国际信托有限公司</w:t>
            </w:r>
            <w:r>
              <w:rPr>
                <w:rFonts w:ascii="方正仿宋简体" w:eastAsia="方正仿宋简体" w:hint="eastAsia"/>
                <w:sz w:val="24"/>
                <w:szCs w:val="24"/>
              </w:rPr>
              <w:t>,</w:t>
            </w:r>
            <w:r>
              <w:rPr>
                <w:rFonts w:ascii="方正仿宋简体" w:eastAsia="方正仿宋简体" w:hint="eastAsia"/>
                <w:sz w:val="24"/>
                <w:szCs w:val="24"/>
              </w:rPr>
              <w:t>太平洋资产管理有限责任公司</w:t>
            </w:r>
          </w:p>
        </w:tc>
      </w:tr>
      <w:tr w:rsidR="00B617E9" w14:paraId="7565A511" w14:textId="77777777">
        <w:trPr>
          <w:trHeight w:val="663"/>
          <w:jc w:val="center"/>
        </w:trPr>
        <w:tc>
          <w:tcPr>
            <w:tcW w:w="2894" w:type="dxa"/>
            <w:vAlign w:val="center"/>
          </w:tcPr>
          <w:p w14:paraId="0EE7A6B5"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产品管理人</w:t>
            </w:r>
          </w:p>
        </w:tc>
        <w:tc>
          <w:tcPr>
            <w:tcW w:w="6065" w:type="dxa"/>
            <w:vAlign w:val="center"/>
          </w:tcPr>
          <w:p w14:paraId="67F321D4"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南银理财有限责任公司</w:t>
            </w:r>
          </w:p>
        </w:tc>
      </w:tr>
      <w:tr w:rsidR="00B617E9" w14:paraId="521AC7B0" w14:textId="77777777">
        <w:trPr>
          <w:trHeight w:val="663"/>
          <w:jc w:val="center"/>
        </w:trPr>
        <w:tc>
          <w:tcPr>
            <w:tcW w:w="2894" w:type="dxa"/>
            <w:vAlign w:val="center"/>
          </w:tcPr>
          <w:p w14:paraId="577A8252"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产品托管人</w:t>
            </w:r>
          </w:p>
        </w:tc>
        <w:tc>
          <w:tcPr>
            <w:tcW w:w="6065" w:type="dxa"/>
            <w:vAlign w:val="center"/>
          </w:tcPr>
          <w:p w14:paraId="11E67B74" w14:textId="77777777" w:rsidR="00B617E9" w:rsidRDefault="00D32DEC">
            <w:pPr>
              <w:snapToGrid/>
              <w:spacing w:beforeLines="20" w:before="48" w:afterLines="20" w:after="48"/>
              <w:rPr>
                <w:rFonts w:ascii="方正仿宋简体" w:eastAsia="方正仿宋简体"/>
                <w:sz w:val="24"/>
                <w:szCs w:val="24"/>
              </w:rPr>
            </w:pPr>
            <w:r>
              <w:rPr>
                <w:rFonts w:ascii="方正仿宋简体" w:eastAsia="方正仿宋简体" w:hint="eastAsia"/>
                <w:sz w:val="24"/>
                <w:szCs w:val="24"/>
              </w:rPr>
              <w:t>南京银行股份有限公司</w:t>
            </w:r>
          </w:p>
        </w:tc>
      </w:tr>
    </w:tbl>
    <w:p w14:paraId="686B8DC4" w14:textId="77777777" w:rsidR="00B617E9" w:rsidRDefault="00B617E9">
      <w:pPr>
        <w:spacing w:before="240" w:after="72" w:line="360" w:lineRule="auto"/>
        <w:rPr>
          <w:rFonts w:ascii="方正仿宋_GBK" w:eastAsia="方正仿宋_GBK" w:hAnsi="宋体" w:cs="宋体"/>
          <w:kern w:val="0"/>
          <w:sz w:val="24"/>
          <w:szCs w:val="24"/>
        </w:rPr>
      </w:pPr>
    </w:p>
    <w:p w14:paraId="012A8873"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主要财务指标和产品业绩比较基准</w:t>
      </w:r>
    </w:p>
    <w:p w14:paraId="57C15B00"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14:paraId="2FCCE3D2" w14:textId="77777777" w:rsidR="00B617E9" w:rsidRDefault="00D32DE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2705"/>
        <w:gridCol w:w="2030"/>
        <w:gridCol w:w="2036"/>
      </w:tblGrid>
      <w:tr w:rsidR="00B617E9" w14:paraId="63670B7C" w14:textId="77777777">
        <w:trPr>
          <w:trHeight w:val="613"/>
          <w:jc w:val="center"/>
        </w:trPr>
        <w:tc>
          <w:tcPr>
            <w:tcW w:w="2296" w:type="dxa"/>
            <w:vMerge w:val="restart"/>
            <w:vAlign w:val="center"/>
          </w:tcPr>
          <w:p w14:paraId="624CC5E8" w14:textId="77777777" w:rsidR="00B617E9" w:rsidRDefault="00D32DEC">
            <w:pPr>
              <w:spacing w:beforeLines="20" w:before="48" w:afterLines="20" w:after="48" w:line="360" w:lineRule="auto"/>
              <w:jc w:val="center"/>
              <w:rPr>
                <w:rFonts w:ascii="方正仿宋简体" w:eastAsia="方正仿宋简体"/>
                <w:sz w:val="24"/>
                <w:szCs w:val="24"/>
              </w:rPr>
            </w:pPr>
            <w:r>
              <w:rPr>
                <w:rFonts w:ascii="方正仿宋简体" w:eastAsia="方正仿宋简体" w:hint="eastAsia"/>
                <w:sz w:val="24"/>
                <w:szCs w:val="24"/>
              </w:rPr>
              <w:t>内部销售代码</w:t>
            </w:r>
          </w:p>
        </w:tc>
        <w:tc>
          <w:tcPr>
            <w:tcW w:w="6771" w:type="dxa"/>
            <w:gridSpan w:val="3"/>
            <w:vAlign w:val="center"/>
          </w:tcPr>
          <w:p w14:paraId="36512E39"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2025</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- 2025</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617E9" w14:paraId="5D9E48B7" w14:textId="77777777">
        <w:trPr>
          <w:trHeight w:val="1664"/>
          <w:jc w:val="center"/>
        </w:trPr>
        <w:tc>
          <w:tcPr>
            <w:tcW w:w="2296" w:type="dxa"/>
            <w:vMerge/>
            <w:vAlign w:val="center"/>
          </w:tcPr>
          <w:p w14:paraId="03307888" w14:textId="77777777" w:rsidR="00B617E9" w:rsidRDefault="00B617E9">
            <w:pPr>
              <w:spacing w:beforeLines="20" w:before="48" w:afterLines="20" w:after="48" w:line="360" w:lineRule="auto"/>
              <w:jc w:val="center"/>
              <w:rPr>
                <w:rFonts w:ascii="方正仿宋简体" w:eastAsia="方正仿宋简体"/>
                <w:sz w:val="24"/>
                <w:szCs w:val="24"/>
              </w:rPr>
            </w:pPr>
          </w:p>
        </w:tc>
        <w:tc>
          <w:tcPr>
            <w:tcW w:w="2705" w:type="dxa"/>
            <w:vAlign w:val="center"/>
          </w:tcPr>
          <w:p w14:paraId="758C9CC5"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030" w:type="dxa"/>
            <w:vAlign w:val="center"/>
          </w:tcPr>
          <w:p w14:paraId="2E672795"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036" w:type="dxa"/>
            <w:vAlign w:val="center"/>
          </w:tcPr>
          <w:p w14:paraId="46664CD4"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617E9" w14:paraId="29D19F72" w14:textId="77777777">
        <w:tblPrEx>
          <w:tblBorders>
            <w:top w:val="single" w:sz="1" w:space="0" w:color="000000"/>
            <w:left w:val="single" w:sz="1" w:space="0" w:color="000000"/>
            <w:bottom w:val="single" w:sz="1" w:space="0" w:color="000000"/>
            <w:right w:val="single" w:sz="1" w:space="0" w:color="000000"/>
          </w:tblBorders>
        </w:tblPrEx>
        <w:trPr>
          <w:trHeight w:val="557"/>
          <w:jc w:val="center"/>
        </w:trPr>
        <w:tc>
          <w:tcPr>
            <w:tcW w:w="2296" w:type="dxa"/>
            <w:vAlign w:val="center"/>
          </w:tcPr>
          <w:p w14:paraId="1C587D4F"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Z40004</w:t>
            </w:r>
          </w:p>
        </w:tc>
        <w:tc>
          <w:tcPr>
            <w:tcW w:w="2705" w:type="dxa"/>
            <w:vAlign w:val="center"/>
          </w:tcPr>
          <w:p w14:paraId="09CBF799"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1,852,484,390.75</w:t>
            </w:r>
          </w:p>
        </w:tc>
        <w:tc>
          <w:tcPr>
            <w:tcW w:w="2030" w:type="dxa"/>
            <w:vAlign w:val="center"/>
          </w:tcPr>
          <w:p w14:paraId="70E66F63"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1.1475</w:t>
            </w:r>
          </w:p>
        </w:tc>
        <w:tc>
          <w:tcPr>
            <w:tcW w:w="2036" w:type="dxa"/>
            <w:vAlign w:val="center"/>
          </w:tcPr>
          <w:p w14:paraId="534C1BC1"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1.2350</w:t>
            </w:r>
          </w:p>
        </w:tc>
      </w:tr>
      <w:tr w:rsidR="00B617E9" w14:paraId="478AA1CC" w14:textId="77777777">
        <w:tblPrEx>
          <w:tblBorders>
            <w:top w:val="single" w:sz="1" w:space="0" w:color="000000"/>
            <w:left w:val="single" w:sz="1" w:space="0" w:color="000000"/>
            <w:bottom w:val="single" w:sz="1" w:space="0" w:color="000000"/>
            <w:right w:val="single" w:sz="1" w:space="0" w:color="000000"/>
          </w:tblBorders>
        </w:tblPrEx>
        <w:trPr>
          <w:trHeight w:val="557"/>
          <w:jc w:val="center"/>
        </w:trPr>
        <w:tc>
          <w:tcPr>
            <w:tcW w:w="2296" w:type="dxa"/>
            <w:vAlign w:val="center"/>
          </w:tcPr>
          <w:p w14:paraId="69DE9434"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Z41004</w:t>
            </w:r>
          </w:p>
        </w:tc>
        <w:tc>
          <w:tcPr>
            <w:tcW w:w="2705" w:type="dxa"/>
            <w:vAlign w:val="center"/>
          </w:tcPr>
          <w:p w14:paraId="1AE88D26"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43,665,970.44</w:t>
            </w:r>
          </w:p>
        </w:tc>
        <w:tc>
          <w:tcPr>
            <w:tcW w:w="2030" w:type="dxa"/>
            <w:vAlign w:val="center"/>
          </w:tcPr>
          <w:p w14:paraId="667BA0C0"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1.1478</w:t>
            </w:r>
          </w:p>
        </w:tc>
        <w:tc>
          <w:tcPr>
            <w:tcW w:w="2036" w:type="dxa"/>
            <w:vAlign w:val="center"/>
          </w:tcPr>
          <w:p w14:paraId="2FD2DD90"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1.1478</w:t>
            </w:r>
          </w:p>
        </w:tc>
      </w:tr>
      <w:tr w:rsidR="00B617E9" w14:paraId="40F1ABC6" w14:textId="77777777">
        <w:tblPrEx>
          <w:tblBorders>
            <w:top w:val="single" w:sz="1" w:space="0" w:color="000000"/>
            <w:left w:val="single" w:sz="1" w:space="0" w:color="000000"/>
            <w:bottom w:val="single" w:sz="1" w:space="0" w:color="000000"/>
            <w:right w:val="single" w:sz="1" w:space="0" w:color="000000"/>
          </w:tblBorders>
        </w:tblPrEx>
        <w:trPr>
          <w:trHeight w:val="557"/>
          <w:jc w:val="center"/>
        </w:trPr>
        <w:tc>
          <w:tcPr>
            <w:tcW w:w="2296" w:type="dxa"/>
            <w:vAlign w:val="center"/>
          </w:tcPr>
          <w:p w14:paraId="2C6DE9B3"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Z42004</w:t>
            </w:r>
          </w:p>
        </w:tc>
        <w:tc>
          <w:tcPr>
            <w:tcW w:w="2705" w:type="dxa"/>
            <w:vAlign w:val="center"/>
          </w:tcPr>
          <w:p w14:paraId="0FAB42A9"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13,640,082.52</w:t>
            </w:r>
          </w:p>
        </w:tc>
        <w:tc>
          <w:tcPr>
            <w:tcW w:w="2030" w:type="dxa"/>
            <w:vAlign w:val="center"/>
          </w:tcPr>
          <w:p w14:paraId="3828FD93"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1.1434</w:t>
            </w:r>
          </w:p>
        </w:tc>
        <w:tc>
          <w:tcPr>
            <w:tcW w:w="2036" w:type="dxa"/>
            <w:vAlign w:val="center"/>
          </w:tcPr>
          <w:p w14:paraId="1794C260" w14:textId="77777777" w:rsidR="00B617E9" w:rsidRDefault="00D32DEC">
            <w:pPr>
              <w:spacing w:beforeLines="20" w:before="48" w:afterLines="20" w:after="48"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1.1434</w:t>
            </w:r>
          </w:p>
        </w:tc>
      </w:tr>
    </w:tbl>
    <w:p w14:paraId="1257AF09" w14:textId="77777777" w:rsidR="00B617E9" w:rsidRDefault="00D32DE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14:paraId="48E2B985" w14:textId="77777777" w:rsidR="00B617E9" w:rsidRDefault="00B617E9">
      <w:pPr>
        <w:spacing w:before="240" w:after="72" w:line="360" w:lineRule="auto"/>
        <w:rPr>
          <w:rFonts w:ascii="方正仿宋_GBK" w:eastAsia="方正仿宋_GBK"/>
          <w:sz w:val="24"/>
          <w:szCs w:val="24"/>
        </w:rPr>
      </w:pPr>
    </w:p>
    <w:p w14:paraId="3CF40792"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2.2 </w:t>
      </w:r>
      <w:r>
        <w:rPr>
          <w:rFonts w:ascii="方正仿宋简体" w:eastAsia="方正仿宋简体" w:hint="eastAsia"/>
          <w:b/>
          <w:sz w:val="24"/>
          <w:szCs w:val="24"/>
        </w:rPr>
        <w:t>产品业绩比较基准</w:t>
      </w:r>
    </w:p>
    <w:p w14:paraId="78D34739"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2.2.1</w:t>
      </w:r>
      <w:r>
        <w:rPr>
          <w:rFonts w:ascii="方正仿宋简体" w:eastAsia="方正仿宋简体" w:hint="eastAsia"/>
          <w:b/>
          <w:sz w:val="24"/>
          <w:szCs w:val="24"/>
        </w:rPr>
        <w:t>本报告期产品业绩比较基准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5"/>
        <w:gridCol w:w="2095"/>
        <w:gridCol w:w="2322"/>
      </w:tblGrid>
      <w:tr w:rsidR="00B617E9" w14:paraId="01DD072F" w14:textId="77777777">
        <w:trPr>
          <w:jc w:val="center"/>
        </w:trPr>
        <w:tc>
          <w:tcPr>
            <w:tcW w:w="4485" w:type="dxa"/>
            <w:vAlign w:val="center"/>
          </w:tcPr>
          <w:p w14:paraId="5C605815"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阶段</w:t>
            </w:r>
          </w:p>
        </w:tc>
        <w:tc>
          <w:tcPr>
            <w:tcW w:w="2095" w:type="dxa"/>
            <w:vAlign w:val="center"/>
          </w:tcPr>
          <w:p w14:paraId="771FF990"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内部销售代码</w:t>
            </w:r>
          </w:p>
        </w:tc>
        <w:tc>
          <w:tcPr>
            <w:tcW w:w="2322" w:type="dxa"/>
            <w:vAlign w:val="center"/>
          </w:tcPr>
          <w:p w14:paraId="20B604A6" w14:textId="77777777" w:rsidR="00B617E9" w:rsidRDefault="00D32DEC">
            <w:pPr>
              <w:snapToGrid/>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业绩比较基准</w:t>
            </w:r>
          </w:p>
        </w:tc>
      </w:tr>
      <w:tr w:rsidR="00B617E9" w14:paraId="7F54DE52" w14:textId="77777777">
        <w:tblPrEx>
          <w:tblBorders>
            <w:top w:val="single" w:sz="1" w:space="0" w:color="000000"/>
            <w:left w:val="single" w:sz="1" w:space="0" w:color="000000"/>
            <w:bottom w:val="single" w:sz="1" w:space="0" w:color="000000"/>
            <w:right w:val="single" w:sz="1" w:space="0" w:color="000000"/>
          </w:tblBorders>
        </w:tblPrEx>
        <w:trPr>
          <w:jc w:val="center"/>
        </w:trPr>
        <w:tc>
          <w:tcPr>
            <w:tcW w:w="4485" w:type="dxa"/>
            <w:vAlign w:val="center"/>
          </w:tcPr>
          <w:p w14:paraId="1769565E"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23</w:t>
            </w:r>
            <w:r>
              <w:rPr>
                <w:rFonts w:ascii="方正仿宋简体" w:eastAsia="方正仿宋简体" w:hAnsi="方正仿宋简体" w:cs="方正仿宋简体"/>
                <w:sz w:val="24"/>
              </w:rPr>
              <w:t>日</w:t>
            </w:r>
            <w:r>
              <w:rPr>
                <w:rFonts w:ascii="方正仿宋简体" w:eastAsia="方正仿宋简体" w:hAnsi="方正仿宋简体" w:cs="方正仿宋简体"/>
                <w:sz w:val="24"/>
              </w:rPr>
              <w:t xml:space="preserve"> - 2025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日</w:t>
            </w:r>
          </w:p>
        </w:tc>
        <w:tc>
          <w:tcPr>
            <w:tcW w:w="2095" w:type="dxa"/>
            <w:vAlign w:val="center"/>
          </w:tcPr>
          <w:p w14:paraId="3F2301C8"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Z40004</w:t>
            </w:r>
          </w:p>
        </w:tc>
        <w:tc>
          <w:tcPr>
            <w:tcW w:w="2322" w:type="dxa"/>
            <w:vAlign w:val="center"/>
          </w:tcPr>
          <w:p w14:paraId="3D0837E3" w14:textId="7F2808D6" w:rsidR="00B617E9" w:rsidRDefault="00CC713E">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sz w:val="24"/>
                <w:szCs w:val="24"/>
              </w:rPr>
              <w:t>.33</w:t>
            </w:r>
            <w:r>
              <w:rPr>
                <w:rFonts w:ascii="方正仿宋简体" w:eastAsia="方正仿宋简体" w:hint="eastAsia"/>
                <w:sz w:val="24"/>
                <w:szCs w:val="24"/>
              </w:rPr>
              <w:t>%</w:t>
            </w:r>
          </w:p>
        </w:tc>
      </w:tr>
      <w:tr w:rsidR="00B617E9" w14:paraId="0329C0F1" w14:textId="77777777">
        <w:tblPrEx>
          <w:tblBorders>
            <w:top w:val="single" w:sz="1" w:space="0" w:color="000000"/>
            <w:left w:val="single" w:sz="1" w:space="0" w:color="000000"/>
            <w:bottom w:val="single" w:sz="1" w:space="0" w:color="000000"/>
            <w:right w:val="single" w:sz="1" w:space="0" w:color="000000"/>
          </w:tblBorders>
        </w:tblPrEx>
        <w:trPr>
          <w:jc w:val="center"/>
        </w:trPr>
        <w:tc>
          <w:tcPr>
            <w:tcW w:w="4485" w:type="dxa"/>
            <w:vAlign w:val="center"/>
          </w:tcPr>
          <w:p w14:paraId="75E1EE57"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23</w:t>
            </w:r>
            <w:r>
              <w:rPr>
                <w:rFonts w:ascii="方正仿宋简体" w:eastAsia="方正仿宋简体" w:hAnsi="方正仿宋简体" w:cs="方正仿宋简体"/>
                <w:sz w:val="24"/>
              </w:rPr>
              <w:t>日</w:t>
            </w:r>
            <w:r>
              <w:rPr>
                <w:rFonts w:ascii="方正仿宋简体" w:eastAsia="方正仿宋简体" w:hAnsi="方正仿宋简体" w:cs="方正仿宋简体"/>
                <w:sz w:val="24"/>
              </w:rPr>
              <w:t xml:space="preserve"> - 2025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日</w:t>
            </w:r>
          </w:p>
        </w:tc>
        <w:tc>
          <w:tcPr>
            <w:tcW w:w="2095" w:type="dxa"/>
            <w:vAlign w:val="center"/>
          </w:tcPr>
          <w:p w14:paraId="778177DD"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Z41004</w:t>
            </w:r>
          </w:p>
        </w:tc>
        <w:tc>
          <w:tcPr>
            <w:tcW w:w="2322" w:type="dxa"/>
            <w:vAlign w:val="center"/>
          </w:tcPr>
          <w:p w14:paraId="3CE047A8" w14:textId="15133288" w:rsidR="00B617E9" w:rsidRDefault="00CC713E">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sz w:val="24"/>
                <w:szCs w:val="24"/>
              </w:rPr>
              <w:t>.33</w:t>
            </w:r>
            <w:r>
              <w:rPr>
                <w:rFonts w:ascii="方正仿宋简体" w:eastAsia="方正仿宋简体" w:hint="eastAsia"/>
                <w:sz w:val="24"/>
                <w:szCs w:val="24"/>
              </w:rPr>
              <w:t>%</w:t>
            </w:r>
          </w:p>
        </w:tc>
      </w:tr>
      <w:tr w:rsidR="00B617E9" w14:paraId="45BDB5A9" w14:textId="77777777">
        <w:tblPrEx>
          <w:tblBorders>
            <w:top w:val="single" w:sz="1" w:space="0" w:color="000000"/>
            <w:left w:val="single" w:sz="1" w:space="0" w:color="000000"/>
            <w:bottom w:val="single" w:sz="1" w:space="0" w:color="000000"/>
            <w:right w:val="single" w:sz="1" w:space="0" w:color="000000"/>
          </w:tblBorders>
        </w:tblPrEx>
        <w:trPr>
          <w:jc w:val="center"/>
        </w:trPr>
        <w:tc>
          <w:tcPr>
            <w:tcW w:w="4485" w:type="dxa"/>
            <w:vAlign w:val="center"/>
          </w:tcPr>
          <w:p w14:paraId="73DB86E9"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23</w:t>
            </w:r>
            <w:r>
              <w:rPr>
                <w:rFonts w:ascii="方正仿宋简体" w:eastAsia="方正仿宋简体" w:hAnsi="方正仿宋简体" w:cs="方正仿宋简体"/>
                <w:sz w:val="24"/>
              </w:rPr>
              <w:t>日</w:t>
            </w:r>
            <w:r>
              <w:rPr>
                <w:rFonts w:ascii="方正仿宋简体" w:eastAsia="方正仿宋简体" w:hAnsi="方正仿宋简体" w:cs="方正仿宋简体"/>
                <w:sz w:val="24"/>
              </w:rPr>
              <w:t xml:space="preserve"> - 2025</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日</w:t>
            </w:r>
          </w:p>
        </w:tc>
        <w:tc>
          <w:tcPr>
            <w:tcW w:w="2095" w:type="dxa"/>
            <w:vAlign w:val="center"/>
          </w:tcPr>
          <w:p w14:paraId="47D37CAD" w14:textId="77777777" w:rsidR="00B617E9" w:rsidRDefault="00D32DEC">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Z42004</w:t>
            </w:r>
          </w:p>
        </w:tc>
        <w:tc>
          <w:tcPr>
            <w:tcW w:w="2322" w:type="dxa"/>
            <w:vAlign w:val="center"/>
          </w:tcPr>
          <w:p w14:paraId="1762D623" w14:textId="1C863F56" w:rsidR="00B617E9" w:rsidRDefault="00CC713E">
            <w:pPr>
              <w:snapToGrid/>
              <w:spacing w:beforeLines="20" w:before="48" w:afterLines="20" w:after="48"/>
              <w:jc w:val="center"/>
              <w:textAlignment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sz w:val="24"/>
                <w:szCs w:val="24"/>
              </w:rPr>
              <w:t>.33</w:t>
            </w:r>
            <w:r>
              <w:rPr>
                <w:rFonts w:ascii="方正仿宋简体" w:eastAsia="方正仿宋简体" w:hint="eastAsia"/>
                <w:sz w:val="24"/>
                <w:szCs w:val="24"/>
              </w:rPr>
              <w:t>%</w:t>
            </w:r>
          </w:p>
        </w:tc>
      </w:tr>
    </w:tbl>
    <w:p w14:paraId="19EEF009" w14:textId="77777777" w:rsidR="00B617E9" w:rsidRDefault="00B617E9">
      <w:pPr>
        <w:spacing w:before="240" w:after="72" w:line="360" w:lineRule="auto"/>
        <w:rPr>
          <w:rFonts w:ascii="方正仿宋_GBK" w:eastAsia="方正仿宋_GBK"/>
          <w:sz w:val="24"/>
          <w:szCs w:val="24"/>
        </w:rPr>
      </w:pPr>
    </w:p>
    <w:p w14:paraId="7E7B425D"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14:paraId="59ADD35C"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r>
        <w:rPr>
          <w:rFonts w:ascii="方正仿宋简体" w:eastAsia="方正仿宋简体" w:hint="eastAsia"/>
          <w:b/>
          <w:sz w:val="24"/>
          <w:szCs w:val="24"/>
        </w:rPr>
        <w:tab/>
      </w:r>
    </w:p>
    <w:p w14:paraId="7C9247B6" w14:textId="77777777" w:rsidR="00B617E9" w:rsidRDefault="00D32DEC">
      <w:pPr>
        <w:spacing w:before="240" w:after="72" w:line="360" w:lineRule="auto"/>
        <w:rPr>
          <w:rFonts w:ascii="方正仿宋简体" w:eastAsia="方正仿宋简体"/>
          <w:sz w:val="24"/>
          <w:szCs w:val="24"/>
        </w:rPr>
      </w:pPr>
      <w:r>
        <w:rPr>
          <w:rFonts w:ascii="方正仿宋简体" w:eastAsia="方正仿宋简体" w:hint="eastAsia"/>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w:t>
      </w:r>
      <w:r>
        <w:rPr>
          <w:rFonts w:ascii="方正仿宋简体" w:eastAsia="方正仿宋简体" w:hint="eastAsia"/>
          <w:sz w:val="24"/>
          <w:szCs w:val="24"/>
        </w:rPr>
        <w:lastRenderedPageBreak/>
        <w:t>易叙事仍然是有利于风险资产而不利于债券。美国经济走强、降息预期后移、中美元首会晤，全球风险偏好均有抬升，市场对“春季躁动”行情的预期极其一致。考虑到</w:t>
      </w:r>
      <w:r>
        <w:rPr>
          <w:rFonts w:ascii="方正仿宋简体" w:eastAsia="方正仿宋简体" w:hint="eastAsia"/>
          <w:sz w:val="24"/>
          <w:szCs w:val="24"/>
        </w:rPr>
        <w:t>1</w:t>
      </w:r>
      <w:r>
        <w:rPr>
          <w:rFonts w:ascii="方正仿宋简体" w:eastAsia="方正仿宋简体" w:hint="eastAsia"/>
          <w:sz w:val="24"/>
          <w:szCs w:val="24"/>
        </w:rPr>
        <w:t>月下旬会迎来一波地方债的供给高峰，保险分红险占比提升导致</w:t>
      </w:r>
      <w:r>
        <w:rPr>
          <w:rFonts w:ascii="方正仿宋简体" w:eastAsia="方正仿宋简体" w:hint="eastAsia"/>
          <w:sz w:val="24"/>
          <w:szCs w:val="24"/>
        </w:rPr>
        <w:t>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r>
      <w:r>
        <w:rPr>
          <w:rFonts w:ascii="方正仿宋简体" w:eastAsia="方正仿宋简体" w:hint="eastAsia"/>
          <w:sz w:val="24"/>
          <w:szCs w:val="24"/>
        </w:rPr>
        <w:br w:type="textWrapping" w:clear="all"/>
      </w:r>
      <w:r>
        <w:rPr>
          <w:rFonts w:ascii="方正仿宋简体" w:eastAsia="方正仿宋简体" w:hint="eastAsia"/>
          <w:sz w:val="24"/>
          <w:szCs w:val="24"/>
        </w:rPr>
        <w:t>  </w:t>
      </w:r>
      <w:r>
        <w:rPr>
          <w:rFonts w:ascii="方正仿宋简体" w:eastAsia="方正仿宋简体" w:hint="eastAsia"/>
          <w:sz w:val="24"/>
          <w:szCs w:val="24"/>
        </w:rPr>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w:t>
      </w:r>
      <w:r>
        <w:rPr>
          <w:rFonts w:ascii="方正仿宋简体" w:eastAsia="方正仿宋简体" w:hint="eastAsia"/>
          <w:sz w:val="24"/>
          <w:szCs w:val="24"/>
        </w:rPr>
        <w:t>值在合理区间内保持相对稳定；同时加强市场与品种研判，在控制好风险的前提下博取超额收益。</w:t>
      </w:r>
    </w:p>
    <w:p w14:paraId="12D60269"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14:paraId="37274233" w14:textId="77777777" w:rsidR="00B617E9" w:rsidRDefault="00D32DE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产品投资运作稳健，资产结构保持较高的流动性水平，平稳度过市场各关键时点。下阶段，产品将继续维持合理的流动性资产比例，做好负债端现金流的跟踪与研判，适度拉长杠杆融资期限，控制产品流动性风险。</w:t>
      </w:r>
    </w:p>
    <w:p w14:paraId="78236003"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14:paraId="002749DB"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Z40004</w:t>
      </w:r>
      <w:r>
        <w:rPr>
          <w:rFonts w:ascii="方正仿宋简体" w:eastAsia="方正仿宋简体" w:hint="eastAsia"/>
          <w:sz w:val="24"/>
          <w:szCs w:val="24"/>
        </w:rPr>
        <w:t>份额净值为</w:t>
      </w:r>
      <w:r>
        <w:rPr>
          <w:rFonts w:ascii="方正仿宋简体" w:eastAsia="方正仿宋简体" w:hint="eastAsia"/>
          <w:sz w:val="24"/>
          <w:szCs w:val="24"/>
        </w:rPr>
        <w:t>1.1475</w:t>
      </w:r>
      <w:r>
        <w:rPr>
          <w:rFonts w:ascii="方正仿宋简体" w:eastAsia="方正仿宋简体" w:hint="eastAsia"/>
          <w:sz w:val="24"/>
          <w:szCs w:val="24"/>
        </w:rPr>
        <w:t>元，</w:t>
      </w:r>
      <w:r>
        <w:rPr>
          <w:rFonts w:ascii="方正仿宋简体" w:eastAsia="方正仿宋简体" w:hint="eastAsia"/>
          <w:sz w:val="24"/>
          <w:szCs w:val="24"/>
        </w:rPr>
        <w:t>Z41004</w:t>
      </w:r>
      <w:r>
        <w:rPr>
          <w:rFonts w:ascii="方正仿宋简体" w:eastAsia="方正仿宋简体" w:hint="eastAsia"/>
          <w:sz w:val="24"/>
          <w:szCs w:val="24"/>
        </w:rPr>
        <w:t>份额净值为</w:t>
      </w:r>
      <w:r>
        <w:rPr>
          <w:rFonts w:ascii="方正仿宋简体" w:eastAsia="方正仿宋简体" w:hint="eastAsia"/>
          <w:sz w:val="24"/>
          <w:szCs w:val="24"/>
        </w:rPr>
        <w:t>1.1478</w:t>
      </w:r>
      <w:r>
        <w:rPr>
          <w:rFonts w:ascii="方正仿宋简体" w:eastAsia="方正仿宋简体" w:hint="eastAsia"/>
          <w:sz w:val="24"/>
          <w:szCs w:val="24"/>
        </w:rPr>
        <w:t>元，</w:t>
      </w:r>
      <w:r>
        <w:rPr>
          <w:rFonts w:ascii="方正仿宋简体" w:eastAsia="方正仿宋简体" w:hint="eastAsia"/>
          <w:sz w:val="24"/>
          <w:szCs w:val="24"/>
        </w:rPr>
        <w:t>Z42004</w:t>
      </w:r>
      <w:r>
        <w:rPr>
          <w:rFonts w:ascii="方正仿宋简体" w:eastAsia="方正仿宋简体" w:hint="eastAsia"/>
          <w:sz w:val="24"/>
          <w:szCs w:val="24"/>
        </w:rPr>
        <w:t>份额净值为</w:t>
      </w:r>
      <w:r>
        <w:rPr>
          <w:rFonts w:ascii="方正仿宋简体" w:eastAsia="方正仿宋简体" w:hint="eastAsia"/>
          <w:sz w:val="24"/>
          <w:szCs w:val="24"/>
        </w:rPr>
        <w:t>1.1434</w:t>
      </w:r>
      <w:r>
        <w:rPr>
          <w:rFonts w:ascii="方正仿宋简体" w:eastAsia="方正仿宋简体" w:hint="eastAsia"/>
          <w:sz w:val="24"/>
          <w:szCs w:val="24"/>
        </w:rPr>
        <w:t>元。</w:t>
      </w:r>
    </w:p>
    <w:p w14:paraId="7E490649" w14:textId="77777777" w:rsidR="00B617E9" w:rsidRDefault="00B617E9">
      <w:pPr>
        <w:spacing w:before="240" w:after="72" w:line="360" w:lineRule="auto"/>
        <w:rPr>
          <w:rFonts w:ascii="方正仿宋_GBK" w:eastAsia="方正仿宋_GBK" w:hAnsi="宋体"/>
          <w:sz w:val="24"/>
          <w:szCs w:val="24"/>
        </w:rPr>
      </w:pPr>
    </w:p>
    <w:p w14:paraId="52831369"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14:paraId="098C72CC"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B617E9" w14:paraId="476F98EB"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6C1CB2CE"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14:paraId="2404799B"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14:paraId="5AB9F105"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14:paraId="2A60321F"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617E9" w14:paraId="734E2648"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1F4A380E"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14:paraId="7D552BE7"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14:paraId="47822D4F"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14:paraId="68111B38"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99.48%</w:t>
            </w:r>
          </w:p>
        </w:tc>
      </w:tr>
      <w:tr w:rsidR="00B617E9" w14:paraId="145C8B74"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181F8A6D"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14:paraId="0D0E2B3A"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14:paraId="739D0950"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14:paraId="6A7B399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0.52%</w:t>
            </w:r>
          </w:p>
        </w:tc>
      </w:tr>
      <w:tr w:rsidR="00B617E9" w14:paraId="5806F1F3"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3D5EACD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14:paraId="7418B94C"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14:paraId="73897D9C"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14:paraId="7CA4C42D"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0.00%</w:t>
            </w:r>
          </w:p>
        </w:tc>
      </w:tr>
      <w:tr w:rsidR="00B617E9" w14:paraId="622ECDA8"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1D7CDE0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14:paraId="5A5DA753"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14:paraId="55E9089F"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14:paraId="67FCA40F"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0.00%</w:t>
            </w:r>
          </w:p>
        </w:tc>
      </w:tr>
      <w:tr w:rsidR="00B617E9" w14:paraId="48B1A218" w14:textId="77777777">
        <w:trPr>
          <w:jc w:val="center"/>
        </w:trPr>
        <w:tc>
          <w:tcPr>
            <w:tcW w:w="745" w:type="dxa"/>
            <w:tcBorders>
              <w:top w:val="single" w:sz="4" w:space="0" w:color="auto"/>
              <w:left w:val="single" w:sz="4" w:space="0" w:color="auto"/>
              <w:bottom w:val="single" w:sz="4" w:space="0" w:color="auto"/>
              <w:right w:val="single" w:sz="4" w:space="0" w:color="auto"/>
            </w:tcBorders>
            <w:vAlign w:val="center"/>
          </w:tcPr>
          <w:p w14:paraId="389489B0"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14:paraId="3572EEBE"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14:paraId="153DC5A5"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14:paraId="7DD3FD84"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100.00%</w:t>
            </w:r>
          </w:p>
        </w:tc>
      </w:tr>
    </w:tbl>
    <w:p w14:paraId="61A45759" w14:textId="77777777" w:rsidR="00B617E9" w:rsidRDefault="00B617E9">
      <w:pPr>
        <w:spacing w:before="240" w:after="72" w:line="360" w:lineRule="auto"/>
        <w:rPr>
          <w:rFonts w:ascii="方正仿宋_GBK" w:eastAsia="方正仿宋_GBK"/>
          <w:sz w:val="24"/>
          <w:szCs w:val="24"/>
        </w:rPr>
      </w:pPr>
    </w:p>
    <w:p w14:paraId="78B7C8FF"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617E9" w14:paraId="7DFF924D" w14:textId="77777777">
        <w:trPr>
          <w:trHeight w:val="1233"/>
          <w:jc w:val="center"/>
        </w:trPr>
        <w:tc>
          <w:tcPr>
            <w:tcW w:w="750" w:type="dxa"/>
            <w:vAlign w:val="center"/>
          </w:tcPr>
          <w:p w14:paraId="3DA6CC68"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14:paraId="42FC8FAB"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14:paraId="6E205D73"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14:paraId="6AADE5CF"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14:paraId="2C5618BB"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617E9" w14:paraId="34ADC6AD"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509C820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14:paraId="1F35B365"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ZJQTT202502250024</w:t>
            </w:r>
          </w:p>
        </w:tc>
        <w:tc>
          <w:tcPr>
            <w:tcW w:w="2712" w:type="dxa"/>
            <w:shd w:val="clear" w:color="000000" w:fill="FFFFFF"/>
            <w:vAlign w:val="center"/>
          </w:tcPr>
          <w:p w14:paraId="6A2FE389"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紫金信托合盛</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14:paraId="4A38E14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251,905,272.43</w:t>
            </w:r>
          </w:p>
        </w:tc>
        <w:tc>
          <w:tcPr>
            <w:tcW w:w="1807" w:type="dxa"/>
            <w:shd w:val="clear" w:color="000000" w:fill="FFFFFF"/>
            <w:vAlign w:val="center"/>
          </w:tcPr>
          <w:p w14:paraId="03281B59"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13.19</w:t>
            </w:r>
          </w:p>
        </w:tc>
      </w:tr>
      <w:tr w:rsidR="00B617E9" w14:paraId="41C50570"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09ABAE2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14:paraId="1A4597DE"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ZJQTT202508040001</w:t>
            </w:r>
          </w:p>
        </w:tc>
        <w:tc>
          <w:tcPr>
            <w:tcW w:w="2712" w:type="dxa"/>
            <w:shd w:val="clear" w:color="000000" w:fill="FFFFFF"/>
            <w:vAlign w:val="center"/>
          </w:tcPr>
          <w:p w14:paraId="7ADFD6DE"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太平洋安盈十五号流动性资产管理产品</w:t>
            </w:r>
          </w:p>
        </w:tc>
        <w:tc>
          <w:tcPr>
            <w:tcW w:w="2052" w:type="dxa"/>
            <w:shd w:val="clear" w:color="000000" w:fill="FFFFFF"/>
            <w:vAlign w:val="center"/>
          </w:tcPr>
          <w:p w14:paraId="7842FDD4"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250,290,945.09</w:t>
            </w:r>
          </w:p>
        </w:tc>
        <w:tc>
          <w:tcPr>
            <w:tcW w:w="1807" w:type="dxa"/>
            <w:shd w:val="clear" w:color="000000" w:fill="FFFFFF"/>
            <w:vAlign w:val="center"/>
          </w:tcPr>
          <w:p w14:paraId="3D109F8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13.11</w:t>
            </w:r>
          </w:p>
        </w:tc>
      </w:tr>
      <w:tr w:rsidR="00B617E9" w14:paraId="19261B3A"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3E6E7C25"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14:paraId="2F9D64D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ZJQTT202410090002</w:t>
            </w:r>
          </w:p>
        </w:tc>
        <w:tc>
          <w:tcPr>
            <w:tcW w:w="2712" w:type="dxa"/>
            <w:shd w:val="clear" w:color="000000" w:fill="FFFFFF"/>
            <w:vAlign w:val="center"/>
          </w:tcPr>
          <w:p w14:paraId="44327E4C"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陆家嘴信托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陆享</w:t>
            </w:r>
            <w:r>
              <w:rPr>
                <w:rFonts w:ascii="方正仿宋简体" w:eastAsia="方正仿宋简体" w:hAnsi="方正仿宋简体" w:cs="方正仿宋简体"/>
                <w:sz w:val="24"/>
              </w:rPr>
              <w:t>19</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14:paraId="6023FC8E"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141,182,888.36</w:t>
            </w:r>
          </w:p>
        </w:tc>
        <w:tc>
          <w:tcPr>
            <w:tcW w:w="1807" w:type="dxa"/>
            <w:shd w:val="clear" w:color="000000" w:fill="FFFFFF"/>
            <w:vAlign w:val="center"/>
          </w:tcPr>
          <w:p w14:paraId="5F9CB05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7.39</w:t>
            </w:r>
          </w:p>
        </w:tc>
      </w:tr>
      <w:tr w:rsidR="00B617E9" w14:paraId="2632625A"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65EF5231"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14:paraId="2930FEA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DQCKX202506160001</w:t>
            </w:r>
          </w:p>
        </w:tc>
        <w:tc>
          <w:tcPr>
            <w:tcW w:w="2712" w:type="dxa"/>
            <w:shd w:val="clear" w:color="000000" w:fill="FFFFFF"/>
            <w:vAlign w:val="center"/>
          </w:tcPr>
          <w:p w14:paraId="57A58F1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北京银行定期存款</w:t>
            </w:r>
            <w:r>
              <w:rPr>
                <w:rFonts w:ascii="方正仿宋简体" w:eastAsia="方正仿宋简体" w:hAnsi="方正仿宋简体" w:cs="方正仿宋简体"/>
                <w:sz w:val="24"/>
              </w:rPr>
              <w:t>20250616</w:t>
            </w:r>
          </w:p>
        </w:tc>
        <w:tc>
          <w:tcPr>
            <w:tcW w:w="2052" w:type="dxa"/>
            <w:shd w:val="clear" w:color="000000" w:fill="FFFFFF"/>
            <w:vAlign w:val="center"/>
          </w:tcPr>
          <w:p w14:paraId="056EC045"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14:paraId="04D2CDE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5.24</w:t>
            </w:r>
          </w:p>
        </w:tc>
      </w:tr>
      <w:tr w:rsidR="00B617E9" w14:paraId="0949658E"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75F3D016"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14:paraId="2582E171"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DQCKX202509220021</w:t>
            </w:r>
          </w:p>
        </w:tc>
        <w:tc>
          <w:tcPr>
            <w:tcW w:w="2712" w:type="dxa"/>
            <w:shd w:val="clear" w:color="000000" w:fill="FFFFFF"/>
            <w:vAlign w:val="center"/>
          </w:tcPr>
          <w:p w14:paraId="290F72DC"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上海银行定期存款</w:t>
            </w:r>
            <w:r>
              <w:rPr>
                <w:rFonts w:ascii="方正仿宋简体" w:eastAsia="方正仿宋简体" w:hAnsi="方正仿宋简体" w:cs="方正仿宋简体"/>
                <w:sz w:val="24"/>
              </w:rPr>
              <w:t>20250922</w:t>
            </w:r>
          </w:p>
        </w:tc>
        <w:tc>
          <w:tcPr>
            <w:tcW w:w="2052" w:type="dxa"/>
            <w:shd w:val="clear" w:color="000000" w:fill="FFFFFF"/>
            <w:vAlign w:val="center"/>
          </w:tcPr>
          <w:p w14:paraId="50B62E59"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14:paraId="781CF0A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5.24</w:t>
            </w:r>
          </w:p>
        </w:tc>
      </w:tr>
      <w:tr w:rsidR="00B617E9" w14:paraId="5EB5BA10"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5FC9AA4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14:paraId="5695B696"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112514084</w:t>
            </w:r>
          </w:p>
        </w:tc>
        <w:tc>
          <w:tcPr>
            <w:tcW w:w="2712" w:type="dxa"/>
            <w:shd w:val="clear" w:color="000000" w:fill="FFFFFF"/>
            <w:vAlign w:val="center"/>
          </w:tcPr>
          <w:p w14:paraId="488A880F"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w:t>
            </w:r>
            <w:r>
              <w:rPr>
                <w:rFonts w:ascii="方正仿宋简体" w:eastAsia="方正仿宋简体" w:hAnsi="方正仿宋简体" w:cs="方正仿宋简体"/>
                <w:sz w:val="24"/>
              </w:rPr>
              <w:t>江苏银行</w:t>
            </w:r>
            <w:r>
              <w:rPr>
                <w:rFonts w:ascii="方正仿宋简体" w:eastAsia="方正仿宋简体" w:hAnsi="方正仿宋简体" w:cs="方正仿宋简体"/>
                <w:sz w:val="24"/>
              </w:rPr>
              <w:t>CD084</w:t>
            </w:r>
          </w:p>
        </w:tc>
        <w:tc>
          <w:tcPr>
            <w:tcW w:w="2052" w:type="dxa"/>
            <w:shd w:val="clear" w:color="000000" w:fill="FFFFFF"/>
            <w:vAlign w:val="center"/>
          </w:tcPr>
          <w:p w14:paraId="0592930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98,725,300.00</w:t>
            </w:r>
          </w:p>
        </w:tc>
        <w:tc>
          <w:tcPr>
            <w:tcW w:w="1807" w:type="dxa"/>
            <w:shd w:val="clear" w:color="000000" w:fill="FFFFFF"/>
            <w:vAlign w:val="center"/>
          </w:tcPr>
          <w:p w14:paraId="632006E7"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5.17</w:t>
            </w:r>
          </w:p>
        </w:tc>
      </w:tr>
      <w:tr w:rsidR="00B617E9" w14:paraId="05272939"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7CAFD219"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14:paraId="001C0491"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112503008</w:t>
            </w:r>
          </w:p>
        </w:tc>
        <w:tc>
          <w:tcPr>
            <w:tcW w:w="2712" w:type="dxa"/>
            <w:shd w:val="clear" w:color="000000" w:fill="FFFFFF"/>
            <w:vAlign w:val="center"/>
          </w:tcPr>
          <w:p w14:paraId="4DE7EF57"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w:t>
            </w:r>
            <w:r>
              <w:rPr>
                <w:rFonts w:ascii="方正仿宋简体" w:eastAsia="方正仿宋简体" w:hAnsi="方正仿宋简体" w:cs="方正仿宋简体"/>
                <w:sz w:val="24"/>
              </w:rPr>
              <w:t>农业银行</w:t>
            </w:r>
            <w:r>
              <w:rPr>
                <w:rFonts w:ascii="方正仿宋简体" w:eastAsia="方正仿宋简体" w:hAnsi="方正仿宋简体" w:cs="方正仿宋简体"/>
                <w:sz w:val="24"/>
              </w:rPr>
              <w:t>CD008</w:t>
            </w:r>
          </w:p>
        </w:tc>
        <w:tc>
          <w:tcPr>
            <w:tcW w:w="2052" w:type="dxa"/>
            <w:shd w:val="clear" w:color="000000" w:fill="FFFFFF"/>
            <w:vAlign w:val="center"/>
          </w:tcPr>
          <w:p w14:paraId="55D5AD14"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98,361,800.00</w:t>
            </w:r>
          </w:p>
        </w:tc>
        <w:tc>
          <w:tcPr>
            <w:tcW w:w="1807" w:type="dxa"/>
            <w:shd w:val="clear" w:color="000000" w:fill="FFFFFF"/>
            <w:vAlign w:val="center"/>
          </w:tcPr>
          <w:p w14:paraId="015DC3A4"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5.15</w:t>
            </w:r>
          </w:p>
        </w:tc>
      </w:tr>
      <w:tr w:rsidR="00B617E9" w14:paraId="2F791D5F"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4A651D7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14:paraId="2429291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XJCKX202404150001</w:t>
            </w:r>
          </w:p>
        </w:tc>
        <w:tc>
          <w:tcPr>
            <w:tcW w:w="2712" w:type="dxa"/>
            <w:shd w:val="clear" w:color="000000" w:fill="FFFFFF"/>
            <w:vAlign w:val="center"/>
          </w:tcPr>
          <w:p w14:paraId="5A197E44"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农业银行深圳分行活期存款</w:t>
            </w:r>
          </w:p>
        </w:tc>
        <w:tc>
          <w:tcPr>
            <w:tcW w:w="2052" w:type="dxa"/>
            <w:shd w:val="clear" w:color="000000" w:fill="FFFFFF"/>
            <w:vAlign w:val="center"/>
          </w:tcPr>
          <w:p w14:paraId="1F0DD1A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98,163,061.78</w:t>
            </w:r>
          </w:p>
        </w:tc>
        <w:tc>
          <w:tcPr>
            <w:tcW w:w="1807" w:type="dxa"/>
            <w:shd w:val="clear" w:color="000000" w:fill="FFFFFF"/>
            <w:vAlign w:val="center"/>
          </w:tcPr>
          <w:p w14:paraId="7031543A"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5.14</w:t>
            </w:r>
          </w:p>
        </w:tc>
      </w:tr>
      <w:tr w:rsidR="00B617E9" w14:paraId="6074AACF"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5468995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14:paraId="4BD01BB6"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112503084</w:t>
            </w:r>
          </w:p>
        </w:tc>
        <w:tc>
          <w:tcPr>
            <w:tcW w:w="2712" w:type="dxa"/>
            <w:shd w:val="clear" w:color="000000" w:fill="FFFFFF"/>
            <w:vAlign w:val="center"/>
          </w:tcPr>
          <w:p w14:paraId="09C4054A"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w:t>
            </w:r>
            <w:r>
              <w:rPr>
                <w:rFonts w:ascii="方正仿宋简体" w:eastAsia="方正仿宋简体" w:hAnsi="方正仿宋简体" w:cs="方正仿宋简体"/>
                <w:sz w:val="24"/>
              </w:rPr>
              <w:t>农业银行</w:t>
            </w:r>
            <w:r>
              <w:rPr>
                <w:rFonts w:ascii="方正仿宋简体" w:eastAsia="方正仿宋简体" w:hAnsi="方正仿宋简体" w:cs="方正仿宋简体"/>
                <w:sz w:val="24"/>
              </w:rPr>
              <w:t>CD084</w:t>
            </w:r>
          </w:p>
        </w:tc>
        <w:tc>
          <w:tcPr>
            <w:tcW w:w="2052" w:type="dxa"/>
            <w:shd w:val="clear" w:color="000000" w:fill="FFFFFF"/>
            <w:vAlign w:val="center"/>
          </w:tcPr>
          <w:p w14:paraId="400B982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98,099,000.00</w:t>
            </w:r>
          </w:p>
        </w:tc>
        <w:tc>
          <w:tcPr>
            <w:tcW w:w="1807" w:type="dxa"/>
            <w:shd w:val="clear" w:color="000000" w:fill="FFFFFF"/>
            <w:vAlign w:val="center"/>
          </w:tcPr>
          <w:p w14:paraId="17D84FA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5.14</w:t>
            </w:r>
          </w:p>
        </w:tc>
      </w:tr>
      <w:tr w:rsidR="00B617E9" w14:paraId="0FD43FB9" w14:textId="777777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14:paraId="76C9ABA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14:paraId="31CBFBF1"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112598681</w:t>
            </w:r>
          </w:p>
        </w:tc>
        <w:tc>
          <w:tcPr>
            <w:tcW w:w="2712" w:type="dxa"/>
            <w:shd w:val="clear" w:color="000000" w:fill="FFFFFF"/>
            <w:vAlign w:val="center"/>
          </w:tcPr>
          <w:p w14:paraId="798D1C32"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25</w:t>
            </w:r>
            <w:r>
              <w:rPr>
                <w:rFonts w:ascii="方正仿宋简体" w:eastAsia="方正仿宋简体" w:hAnsi="方正仿宋简体" w:cs="方正仿宋简体"/>
                <w:sz w:val="24"/>
              </w:rPr>
              <w:t>宁波通商银行</w:t>
            </w:r>
            <w:r>
              <w:rPr>
                <w:rFonts w:ascii="方正仿宋简体" w:eastAsia="方正仿宋简体" w:hAnsi="方正仿宋简体" w:cs="方正仿宋简体"/>
                <w:sz w:val="24"/>
              </w:rPr>
              <w:t>CD080</w:t>
            </w:r>
          </w:p>
        </w:tc>
        <w:tc>
          <w:tcPr>
            <w:tcW w:w="2052" w:type="dxa"/>
            <w:shd w:val="clear" w:color="000000" w:fill="FFFFFF"/>
            <w:vAlign w:val="center"/>
          </w:tcPr>
          <w:p w14:paraId="357FAD97"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79,000,080.00</w:t>
            </w:r>
          </w:p>
        </w:tc>
        <w:tc>
          <w:tcPr>
            <w:tcW w:w="1807" w:type="dxa"/>
            <w:shd w:val="clear" w:color="000000" w:fill="FFFFFF"/>
            <w:vAlign w:val="center"/>
          </w:tcPr>
          <w:p w14:paraId="7E33446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4.14</w:t>
            </w:r>
          </w:p>
        </w:tc>
      </w:tr>
    </w:tbl>
    <w:p w14:paraId="5C9D4C16" w14:textId="77777777" w:rsidR="00B617E9" w:rsidRDefault="00B617E9">
      <w:pPr>
        <w:spacing w:before="240" w:after="72" w:line="360" w:lineRule="auto"/>
        <w:rPr>
          <w:rFonts w:ascii="方正仿宋_GBK" w:eastAsia="方正仿宋_GBK" w:hAnsi="宋体" w:cs="宋体"/>
          <w:sz w:val="24"/>
          <w:szCs w:val="24"/>
          <w:shd w:val="clear" w:color="auto" w:fill="FFFFFF"/>
        </w:rPr>
      </w:pPr>
    </w:p>
    <w:p w14:paraId="197CC475" w14:textId="77777777" w:rsidR="00B617E9" w:rsidRDefault="00D32DE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671"/>
        <w:gridCol w:w="1252"/>
        <w:gridCol w:w="1511"/>
        <w:gridCol w:w="1357"/>
        <w:gridCol w:w="1248"/>
        <w:gridCol w:w="1000"/>
      </w:tblGrid>
      <w:tr w:rsidR="00B617E9" w14:paraId="42656EB6" w14:textId="77777777">
        <w:trPr>
          <w:trHeight w:val="1078"/>
          <w:jc w:val="center"/>
        </w:trPr>
        <w:tc>
          <w:tcPr>
            <w:tcW w:w="863" w:type="dxa"/>
            <w:vAlign w:val="center"/>
          </w:tcPr>
          <w:p w14:paraId="62897586"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序号</w:t>
            </w:r>
          </w:p>
        </w:tc>
        <w:tc>
          <w:tcPr>
            <w:tcW w:w="1671" w:type="dxa"/>
            <w:vAlign w:val="center"/>
          </w:tcPr>
          <w:p w14:paraId="4E6E7849"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融资客户</w:t>
            </w:r>
          </w:p>
        </w:tc>
        <w:tc>
          <w:tcPr>
            <w:tcW w:w="1252" w:type="dxa"/>
            <w:vAlign w:val="center"/>
          </w:tcPr>
          <w:p w14:paraId="7F0963DB"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项目名称</w:t>
            </w:r>
          </w:p>
        </w:tc>
        <w:tc>
          <w:tcPr>
            <w:tcW w:w="1511" w:type="dxa"/>
            <w:vAlign w:val="center"/>
          </w:tcPr>
          <w:p w14:paraId="2648B28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57" w:type="dxa"/>
            <w:vAlign w:val="center"/>
          </w:tcPr>
          <w:p w14:paraId="4DF4F91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48" w:type="dxa"/>
            <w:vAlign w:val="center"/>
          </w:tcPr>
          <w:p w14:paraId="4A040B3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交易结构</w:t>
            </w:r>
          </w:p>
        </w:tc>
        <w:tc>
          <w:tcPr>
            <w:tcW w:w="1000" w:type="dxa"/>
            <w:vAlign w:val="center"/>
          </w:tcPr>
          <w:p w14:paraId="182E46F9"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风险状况</w:t>
            </w:r>
          </w:p>
        </w:tc>
      </w:tr>
      <w:tr w:rsidR="00B617E9" w14:paraId="3545F8E1" w14:textId="7777777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63" w:type="dxa"/>
            <w:vAlign w:val="center"/>
          </w:tcPr>
          <w:p w14:paraId="4855150F"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671" w:type="dxa"/>
            <w:vAlign w:val="center"/>
          </w:tcPr>
          <w:p w14:paraId="0315AB3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52" w:type="dxa"/>
            <w:vAlign w:val="center"/>
          </w:tcPr>
          <w:p w14:paraId="7156B48C"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11" w:type="dxa"/>
            <w:vAlign w:val="center"/>
          </w:tcPr>
          <w:p w14:paraId="26594EF5"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57" w:type="dxa"/>
            <w:vAlign w:val="center"/>
          </w:tcPr>
          <w:p w14:paraId="4B36CD5E"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48" w:type="dxa"/>
            <w:vAlign w:val="center"/>
          </w:tcPr>
          <w:p w14:paraId="10716A1D"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000" w:type="dxa"/>
            <w:vAlign w:val="center"/>
          </w:tcPr>
          <w:p w14:paraId="6A00A1A4"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14:paraId="5869A395" w14:textId="77777777" w:rsidR="00B617E9" w:rsidRDefault="00B617E9">
      <w:pPr>
        <w:spacing w:before="240" w:after="72" w:line="360" w:lineRule="auto"/>
        <w:rPr>
          <w:rFonts w:ascii="方正仿宋_GBK" w:eastAsia="方正仿宋_GBK" w:hAnsi="宋体" w:cs="宋体"/>
          <w:sz w:val="24"/>
          <w:szCs w:val="24"/>
          <w:shd w:val="clear" w:color="auto" w:fill="FFFFFF"/>
        </w:rPr>
      </w:pPr>
    </w:p>
    <w:p w14:paraId="67B56EC8"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567"/>
        <w:gridCol w:w="2668"/>
        <w:gridCol w:w="1983"/>
        <w:gridCol w:w="1988"/>
      </w:tblGrid>
      <w:tr w:rsidR="00B617E9" w14:paraId="3F09B8B3" w14:textId="77777777">
        <w:trPr>
          <w:trHeight w:val="584"/>
          <w:jc w:val="center"/>
        </w:trPr>
        <w:tc>
          <w:tcPr>
            <w:tcW w:w="696" w:type="dxa"/>
            <w:vAlign w:val="center"/>
          </w:tcPr>
          <w:p w14:paraId="3667DED3"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序号</w:t>
            </w:r>
          </w:p>
        </w:tc>
        <w:tc>
          <w:tcPr>
            <w:tcW w:w="1567" w:type="dxa"/>
            <w:vAlign w:val="center"/>
          </w:tcPr>
          <w:p w14:paraId="49DC1B45"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14:paraId="1C0EFF0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14:paraId="0659BA82"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14:paraId="3B54CB58" w14:textId="77777777" w:rsidR="00B617E9" w:rsidRDefault="00D32DEC">
            <w:pPr>
              <w:spacing w:beforeLines="20" w:before="48" w:afterLines="20" w:after="48"/>
              <w:jc w:val="center"/>
              <w:rPr>
                <w:rFonts w:ascii="方正仿宋简体" w:eastAsia="方正仿宋简体"/>
                <w:sz w:val="24"/>
                <w:szCs w:val="24"/>
              </w:rPr>
            </w:pPr>
            <w:r>
              <w:rPr>
                <w:rFonts w:ascii="方正仿宋简体" w:eastAsia="方正仿宋简体" w:hint="eastAsia"/>
                <w:sz w:val="24"/>
                <w:szCs w:val="24"/>
              </w:rPr>
              <w:t>开户单位</w:t>
            </w:r>
          </w:p>
        </w:tc>
      </w:tr>
      <w:tr w:rsidR="00B617E9" w14:paraId="36A613A9" w14:textId="7777777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696" w:type="dxa"/>
            <w:vAlign w:val="center"/>
          </w:tcPr>
          <w:p w14:paraId="72FF7AAC"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67" w:type="dxa"/>
            <w:vAlign w:val="center"/>
          </w:tcPr>
          <w:p w14:paraId="4E121BE8"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14:paraId="27C58433"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0120040000000350</w:t>
            </w:r>
          </w:p>
        </w:tc>
        <w:tc>
          <w:tcPr>
            <w:tcW w:w="1983" w:type="dxa"/>
            <w:vAlign w:val="center"/>
          </w:tcPr>
          <w:p w14:paraId="5F6D6819"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南京银行鑫悦享</w:t>
            </w:r>
            <w:r>
              <w:rPr>
                <w:rFonts w:ascii="方正仿宋简体" w:eastAsia="方正仿宋简体" w:hAnsi="方正仿宋简体" w:cs="方正仿宋简体"/>
                <w:sz w:val="24"/>
              </w:rPr>
              <w:t>1912</w:t>
            </w:r>
            <w:r>
              <w:rPr>
                <w:rFonts w:ascii="方正仿宋简体" w:eastAsia="方正仿宋简体" w:hAnsi="方正仿宋简体" w:cs="方正仿宋简体"/>
                <w:sz w:val="24"/>
              </w:rPr>
              <w:t>三个月定开</w:t>
            </w:r>
          </w:p>
        </w:tc>
        <w:tc>
          <w:tcPr>
            <w:tcW w:w="1988" w:type="dxa"/>
            <w:vAlign w:val="center"/>
          </w:tcPr>
          <w:p w14:paraId="033F838B" w14:textId="77777777" w:rsidR="00B617E9" w:rsidRDefault="00D32DEC">
            <w:pPr>
              <w:spacing w:beforeLines="20" w:before="48" w:afterLines="20" w:after="48"/>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14:paraId="1C4CFBA9" w14:textId="77777777" w:rsidR="00B617E9" w:rsidRDefault="00B617E9">
      <w:pPr>
        <w:spacing w:before="240" w:after="72" w:line="360" w:lineRule="auto"/>
        <w:rPr>
          <w:rFonts w:ascii="方正仿宋_GBK" w:eastAsia="方正仿宋_GBK"/>
          <w:sz w:val="24"/>
          <w:szCs w:val="24"/>
        </w:rPr>
      </w:pPr>
    </w:p>
    <w:p w14:paraId="505F54E4" w14:textId="77777777" w:rsidR="00B617E9" w:rsidRDefault="00D32DE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14:paraId="74488824"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1D9BBAB3"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14:paraId="7A5634F9"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14:paraId="583B2D64"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14:paraId="714935C2"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110,000,000.00</w:t>
      </w:r>
      <w:r>
        <w:rPr>
          <w:rFonts w:ascii="方正仿宋简体" w:eastAsia="方正仿宋简体" w:hint="eastAsia"/>
          <w:sz w:val="24"/>
          <w:szCs w:val="24"/>
        </w:rPr>
        <w:t>元。</w:t>
      </w:r>
    </w:p>
    <w:p w14:paraId="20A04AEA"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114,781.05</w:t>
      </w:r>
      <w:r>
        <w:rPr>
          <w:rFonts w:ascii="方正仿宋简体" w:eastAsia="方正仿宋简体" w:hint="eastAsia"/>
          <w:sz w:val="24"/>
          <w:szCs w:val="24"/>
        </w:rPr>
        <w:t>元，支付关联方代销费</w:t>
      </w:r>
      <w:r>
        <w:rPr>
          <w:rFonts w:ascii="方正仿宋简体" w:eastAsia="方正仿宋简体" w:hint="eastAsia"/>
          <w:sz w:val="24"/>
          <w:szCs w:val="24"/>
        </w:rPr>
        <w:t>1,099,226.21</w:t>
      </w:r>
      <w:r>
        <w:rPr>
          <w:rFonts w:ascii="方正仿宋简体" w:eastAsia="方正仿宋简体" w:hint="eastAsia"/>
          <w:sz w:val="24"/>
          <w:szCs w:val="24"/>
        </w:rPr>
        <w:t>元。</w:t>
      </w:r>
    </w:p>
    <w:p w14:paraId="4066BB2A"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14:paraId="40271106" w14:textId="77777777" w:rsidR="00B617E9" w:rsidRDefault="00D32DEC">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报告期内，产品未发生重大关联交易。</w:t>
      </w:r>
    </w:p>
    <w:p w14:paraId="35C4FA0F" w14:textId="77777777" w:rsidR="00B617E9" w:rsidRDefault="00B617E9">
      <w:pPr>
        <w:spacing w:before="240" w:after="72" w:line="360" w:lineRule="auto"/>
        <w:rPr>
          <w:rFonts w:ascii="方正仿宋_GBK" w:eastAsia="方正仿宋_GBK"/>
          <w:sz w:val="24"/>
          <w:szCs w:val="24"/>
        </w:rPr>
      </w:pPr>
    </w:p>
    <w:p w14:paraId="60B9D3FC" w14:textId="77777777" w:rsidR="00B617E9" w:rsidRDefault="00B617E9">
      <w:pPr>
        <w:spacing w:before="240" w:after="72" w:line="360" w:lineRule="auto"/>
        <w:rPr>
          <w:rFonts w:ascii="方正仿宋_GBK" w:eastAsia="方正仿宋_GBK" w:hAnsi="宋体" w:cs="宋体"/>
          <w:kern w:val="0"/>
          <w:sz w:val="24"/>
          <w:szCs w:val="24"/>
        </w:rPr>
      </w:pPr>
    </w:p>
    <w:p w14:paraId="54064FC6" w14:textId="77777777" w:rsidR="00B617E9" w:rsidRDefault="00B617E9">
      <w:pPr>
        <w:spacing w:before="240" w:after="72" w:line="360" w:lineRule="auto"/>
        <w:rPr>
          <w:rFonts w:ascii="方正仿宋_GBK" w:eastAsia="方正仿宋_GBK" w:hAnsi="宋体" w:cs="宋体"/>
          <w:kern w:val="0"/>
          <w:sz w:val="24"/>
          <w:szCs w:val="24"/>
        </w:rPr>
      </w:pPr>
    </w:p>
    <w:p w14:paraId="112F47FB" w14:textId="77777777" w:rsidR="00B617E9" w:rsidRDefault="00B617E9">
      <w:pPr>
        <w:spacing w:before="240" w:after="72" w:line="360" w:lineRule="auto"/>
        <w:jc w:val="right"/>
        <w:rPr>
          <w:rFonts w:ascii="方正仿宋_GBK" w:eastAsia="方正仿宋_GBK"/>
          <w:b/>
          <w:sz w:val="24"/>
          <w:szCs w:val="24"/>
        </w:rPr>
      </w:pPr>
    </w:p>
    <w:p w14:paraId="5DE934FC" w14:textId="77777777" w:rsidR="00B617E9" w:rsidRDefault="00D32DE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14:paraId="56A2885A" w14:textId="77777777" w:rsidR="00B617E9" w:rsidRDefault="00D32DE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2025</w:t>
      </w:r>
      <w:r>
        <w:rPr>
          <w:rFonts w:ascii="方正仿宋简体" w:eastAsia="方正仿宋简体" w:hint="eastAsia"/>
          <w:b/>
          <w:sz w:val="24"/>
          <w:szCs w:val="24"/>
        </w:rPr>
        <w:t>年</w:t>
      </w:r>
      <w:r>
        <w:rPr>
          <w:rFonts w:ascii="方正仿宋简体" w:eastAsia="方正仿宋简体" w:hint="eastAsia"/>
          <w:b/>
          <w:sz w:val="24"/>
          <w:szCs w:val="24"/>
        </w:rPr>
        <w:t>12</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sectPr w:rsidR="00B617E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3F7EC" w14:textId="77777777" w:rsidR="00D32DEC" w:rsidRDefault="00D32DEC">
      <w:pPr>
        <w:spacing w:after="72"/>
      </w:pPr>
      <w:r>
        <w:separator/>
      </w:r>
    </w:p>
  </w:endnote>
  <w:endnote w:type="continuationSeparator" w:id="0">
    <w:p w14:paraId="3F88BED3" w14:textId="77777777" w:rsidR="00D32DEC" w:rsidRDefault="00D32DE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charset w:val="86"/>
    <w:family w:val="script"/>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简体">
    <w:altName w:val="微软雅黑"/>
    <w:charset w:val="00"/>
    <w:family w:val="auto"/>
    <w:pitch w:val="default"/>
  </w:font>
  <w:font w:name="方正仿宋_GBK">
    <w:altName w:val="Arial Unicode MS"/>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B23E" w14:textId="77777777" w:rsidR="00B617E9" w:rsidRDefault="00D32DEC">
    <w:pPr>
      <w:pStyle w:val="a3"/>
      <w:framePr w:wrap="around" w:vAnchor="text" w:hAnchor="margin" w:xAlign="center" w:y="1"/>
      <w:spacing w:after="72"/>
      <w:rPr>
        <w:rStyle w:val="a8"/>
      </w:rPr>
    </w:pPr>
    <w:r>
      <w:fldChar w:fldCharType="begin"/>
    </w:r>
    <w:r>
      <w:rPr>
        <w:rStyle w:val="a8"/>
      </w:rPr>
      <w:instrText xml:space="preserve">PAGE  </w:instrText>
    </w:r>
    <w:r>
      <w:fldChar w:fldCharType="end"/>
    </w:r>
  </w:p>
  <w:p w14:paraId="0ED4D0D7" w14:textId="77777777" w:rsidR="00B617E9" w:rsidRDefault="00B617E9">
    <w:pPr>
      <w:pStyle w:val="a3"/>
      <w:spacing w:after="7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E34A" w14:textId="77777777" w:rsidR="00B617E9" w:rsidRDefault="00B617E9">
    <w:pPr>
      <w:pStyle w:val="a3"/>
      <w:spacing w:after="7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846D" w14:textId="77777777" w:rsidR="00B617E9" w:rsidRDefault="00B617E9">
    <w:pPr>
      <w:pStyle w:val="a3"/>
      <w:spacing w:after="7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9217D" w14:textId="77777777" w:rsidR="00D32DEC" w:rsidRDefault="00D32DEC">
      <w:pPr>
        <w:spacing w:after="72"/>
      </w:pPr>
      <w:r>
        <w:separator/>
      </w:r>
    </w:p>
  </w:footnote>
  <w:footnote w:type="continuationSeparator" w:id="0">
    <w:p w14:paraId="575E03E1" w14:textId="77777777" w:rsidR="00D32DEC" w:rsidRDefault="00D32DEC">
      <w:pPr>
        <w:spacing w:after="7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722D" w14:textId="77777777" w:rsidR="00B617E9" w:rsidRDefault="00B617E9">
    <w:pPr>
      <w:pStyle w:val="a5"/>
      <w:spacing w:after="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23443" w14:textId="77777777" w:rsidR="00B617E9" w:rsidRDefault="00B617E9">
    <w:pPr>
      <w:pStyle w:val="a5"/>
      <w:spacing w:after="7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3F6CC" w14:textId="77777777" w:rsidR="00B617E9" w:rsidRDefault="00B617E9">
    <w:pPr>
      <w:pStyle w:val="a5"/>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617E9"/>
    <w:rsid w:val="00B751B8"/>
    <w:rsid w:val="00B86655"/>
    <w:rsid w:val="00B91322"/>
    <w:rsid w:val="00B92DFA"/>
    <w:rsid w:val="00BA2C30"/>
    <w:rsid w:val="00BD00A8"/>
    <w:rsid w:val="00C17A02"/>
    <w:rsid w:val="00C62A28"/>
    <w:rsid w:val="00C872EF"/>
    <w:rsid w:val="00C945B6"/>
    <w:rsid w:val="00CA4B23"/>
    <w:rsid w:val="00CA4CDA"/>
    <w:rsid w:val="00CC713E"/>
    <w:rsid w:val="00D038A1"/>
    <w:rsid w:val="00D21AF8"/>
    <w:rsid w:val="00D32DEC"/>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4AF43"/>
  <w15:docId w15:val="{591C7047-308F-4AB0-BB61-FCE5AB4D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afterLines="30"/>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rPr>
      <w:rFonts w:eastAsiaTheme="minorEastAsia"/>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qFormat/>
    <w:pPr>
      <w:spacing w:before="100" w:beforeAutospacing="1" w:after="100" w:afterAutospacing="1"/>
    </w:pPr>
    <w:rPr>
      <w:rFonts w:ascii="宋体" w:hAnsi="宋体"/>
      <w:kern w:val="0"/>
      <w:sz w:val="24"/>
      <w:szCs w:val="24"/>
    </w:rPr>
  </w:style>
  <w:style w:type="character" w:styleId="a8">
    <w:name w:val="page number"/>
    <w:basedOn w:val="a0"/>
    <w:uiPriority w:val="99"/>
    <w:unhideWhenUsed/>
    <w:qFormat/>
  </w:style>
  <w:style w:type="character" w:customStyle="1" w:styleId="a4">
    <w:name w:val="页脚 字符"/>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autoSpaceDE w:val="0"/>
      <w:autoSpaceDN w:val="0"/>
      <w:adjustRightInd w:val="0"/>
      <w:spacing w:before="29" w:line="288" w:lineRule="auto"/>
      <w:ind w:left="15"/>
    </w:pPr>
    <w:rPr>
      <w:rFonts w:ascii="宋体" w:hAnsi="宋体" w:cs="宋体"/>
      <w:kern w:val="0"/>
      <w:sz w:val="24"/>
      <w:szCs w:val="24"/>
    </w:rPr>
  </w:style>
  <w:style w:type="paragraph" w:customStyle="1" w:styleId="zhangjiep2">
    <w:name w:val="zhangjie_p2"/>
    <w:basedOn w:val="a"/>
    <w:qFormat/>
    <w:pPr>
      <w:autoSpaceDE w:val="0"/>
      <w:autoSpaceDN w:val="0"/>
      <w:adjustRightInd w:val="0"/>
      <w:spacing w:before="24" w:line="288" w:lineRule="auto"/>
      <w:ind w:left="15"/>
    </w:pPr>
    <w:rPr>
      <w:rFonts w:ascii="宋体" w:hAnsi="宋体" w:cs="宋体"/>
      <w:kern w:val="0"/>
      <w:sz w:val="24"/>
      <w:szCs w:val="24"/>
    </w:rPr>
  </w:style>
  <w:style w:type="paragraph" w:customStyle="1" w:styleId="biaogecenter">
    <w:name w:val="biaoge_center"/>
    <w:basedOn w:val="a"/>
    <w:qFormat/>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kern w:val="2"/>
      <w:sz w:val="21"/>
      <w:szCs w:val="21"/>
    </w:rPr>
  </w:style>
  <w:style w:type="paragraph" w:customStyle="1" w:styleId="biaogeright">
    <w:name w:val="biaoge_right"/>
    <w:basedOn w:val="a"/>
    <w:qFormat/>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autoSpaceDE w:val="0"/>
      <w:autoSpaceDN w:val="0"/>
      <w:adjustRightInd w:val="0"/>
      <w:spacing w:before="29" w:line="288" w:lineRule="auto"/>
      <w:ind w:left="15"/>
    </w:pPr>
    <w:rPr>
      <w:rFonts w:ascii="宋体" w:hAnsi="宋体" w:cs="宋体"/>
      <w:kern w:val="0"/>
      <w:sz w:val="24"/>
      <w:szCs w:val="24"/>
    </w:rPr>
  </w:style>
  <w:style w:type="paragraph" w:customStyle="1" w:styleId="zhangjiep">
    <w:name w:val="zhangjie_p"/>
    <w:basedOn w:val="a"/>
    <w:qFormat/>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423</Words>
  <Characters>2417</Characters>
  <Application>Microsoft Office Word</Application>
  <DocSecurity>0</DocSecurity>
  <Lines>20</Lines>
  <Paragraphs>5</Paragraphs>
  <ScaleCrop>false</ScaleCrop>
  <Company>cc</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PC</cp:lastModifiedBy>
  <cp:revision>125</cp:revision>
  <dcterms:created xsi:type="dcterms:W3CDTF">2022-07-23T09:20:00Z</dcterms:created>
  <dcterms:modified xsi:type="dcterms:W3CDTF">2026-01-20T08:10:00Z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