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南银理财珠联璧合行稳1902半年定开公募人民币理财产品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南银理财珠联璧合行稳1902半年定开公募人民币理财产品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Z7003221000030（投资者可依据该编码在中国理财网www.chinawealth.com.cn查询理财产品相关信息）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2019年02月27日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860,778,114.23份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Z10023</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865,347,859.29</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2025年10月01日 - 2025年12月31日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Z10023</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0.65%</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券市场围绕基金销售费率新规、央行重启国债买卖，重要会议政策预期展开交易。机构博弈信用债利差压缩，信用债配置情绪整体有所修复，年末万科债券展期，重要会议释放货币宽松信号，央行呵护跨年资金面，但超长债供给时有扰动，利率曲线陡峭化，长端利率波动放大，信用债和同业存单收益率窄幅波动，信用利差主动走阔后维持震荡。30年国债较上季末上行2bp，1年国债下行3bp，利率曲线进一步陡峭化。</w:t>
        <w:br w:type="textWrapping" w:clear="all"/>
      </w:r>
      <w:r>
        <w:rPr>
          <w:rFonts w:hint="eastAsia" w:ascii="方正仿宋简体" w:eastAsia="方正仿宋简体"/>
          <w:sz w:val="24"/>
          <w:szCs w:val="24"/>
        </w:rPr>
        <w:t>  展望一季度，开门红和长债供给压力扰动市场情绪，票息价值逐步提升，配置窗口临近。市场对“春季躁动”行情的预期极其一致。考虑到1月下旬会迎来一波地方债的供给高峰，市场对久期的偏好预计仍维持在较低的水平。判断市场压力的充分释放可能要看到供给冲击交易结束和相关利差的充分走阔。操作上，抓住调整窗口积极进行票息布局，在权益市场波动快速放大后关注长久期品种交易机会，波段交易注重交易纪律，快进快出、及时止盈。信用债投资关注3年以内城投品种的票息价值，在央行适度宽松的货币基调下，中短端确定性更高，调整中逐步加仓，把握票息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截至报告期末，本产品份额净值为1.0053元。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111,240,092.26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256089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24世纪02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50,657,700.00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23武进05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40,656,360.00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133657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23城铁债</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40,569,120.00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102484701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24盐城城投MTN003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40,482,720.00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032380391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23汉盛建设PPN001(项目收益)</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40,277,000.00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032400985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24隆博投资PPN002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40,223,160.00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256101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24近湖01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30,930,330.00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256216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24驻产04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30,619,500.00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2180328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21新昌债02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30,611,940.00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0120030000000256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南京银行行稳1902半年定开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产品支付关联方托管费56,686.77元，支付关联方代销费652,980.44元。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2025年12月31日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