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南银理财珠联璧合鑫逸稳三年5期封闭式公募人民币理财产品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南银理财珠联璧合鑫逸稳三年5期封闭式公募人民币理财产品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Z7003223000157（投资者可依据该编码在中国理财网www.chinawealth.com.cn查询理财产品相关信息）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2023年08月23日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124,081,137.00份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Y90005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136,202,639.77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1.0976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截至报告期末，本产品份额净值为1.0976元。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136,779,528.02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0101070000000661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南京银行南京分行南银理财鑫逸稳三年5期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产品支付关联方托管费0.00元，支付关联方代销费53,898.33元。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