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南银理财珠联璧合鑫逸稳两年116期封闭式公募人民币理财产品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南银理财珠联璧合鑫逸稳两年116期封闭式公募人民币理财产品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Z7003225000116（投资者可依据该编码在中国理财网www.chinawealth.com.cn查询理财产品相关信息）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2025年05月09日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226,432,611.00份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Y60116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154,368,427.42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Y61116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70,049,354.61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Y62116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6,590,415.19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截至报告期末，本产品Y60116份额净值为1.0199元，Y61116份额净值为1.0206元，Y62116份额净值为1.0212元。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190,372,444.62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82.41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40,205,240.98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17.40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XJCKX202312190022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浦发银行南京分行活期存款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92,711.11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0.04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0101060000001492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南银理财珠联璧合鑫逸稳两年116期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产品支付关联方托管费0.00元，支付关联方代销费76,765.46元。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