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138,472,562.00份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陆家嘴国际信托有限公司,重庆国际信托股份有限公司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61,549,933.67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79,607,156.84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4,677,744.57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截至报告期末，本产品Y60074份额净值为1.0522元，Y61074份额净值为1.0537元，Y62074份额净值为1.0553元。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69,242,635.74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53,929,298.78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20,527,320.96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0101060000001053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产品支付关联方托管费0.00元，支付关联方代销费40,871.22元。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