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南银理财珠联璧合鑫逸稳一年226期（绿色金融主题）封闭式公募人民币理财产品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南银理财珠联璧合鑫逸稳一年226期（绿色金融主题）封闭式公募人民币理财产品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Z7003225000162（投资者可依据该编码在中国理财网www.chinawealth.com.cn查询理财产品相关信息）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2,013,337,545.00份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国投泰康信托有限公司,天津信托有限责任公司,鑫元基金管理有限公司,大家资产管理有限责任公司,江苏省国际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879,550,999.72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252,711,638.73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156,698,901.34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443,041,742.07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92,313,626.35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127,307,055.67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22,696,822.38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YA30226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11,240,328.82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50,534,546.92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30226份额净值为1.0108元，Y31226份额净值为1.0112元，Y32226份额净值为1.0118元，Y33226份额净值为1.0122元，Y34226份额净值为1.0106元，Y35226份额净值为1.0109元，Y36226份额净值为1.0111元，YA30226份额净值为1.0114元，YB30226份额净值为1.0120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735,714,251.26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303,988,821.00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242,952,242.40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ZCZQT202506270021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光大永明-安盈6号资产支持计划（第1期）优先级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200,014,818.64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184,503,148.36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ZCZQT202506240024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大家-长煜4号资产支持计划（第4期）优先级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150,015,527.66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93,439,232.58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115807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23海连G1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20,246,480.00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大家-长煜4号资产支持计划（第4期）优先级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光大永明-安盈6号资产支持计划（第1期）优先级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0101070000001552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产品投资关联方作为管理人的资产管理产品交易金额221,000,000.00元。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产品支付关联方托管费0.00元，支付关联方代销费305,103.08元。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