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南银理财鼎瑞悦稳（最低持有14天）4号公募人民币理财产品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南银理财鼎瑞悦稳（最低持有14天）4号公募人民币理财产品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Z7003225000220（投资者可依据该编码在中国理财网www.chinawealth.com.cn查询理财产品相关信息）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11,723,227,145.75份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兴业国际信托有限公司,华泰资产管理有限公司,国投泰康信托有限公司,紫金信托有限责任公司,华润深国投信托有限公司,陆家嘴国际信托有限公司,大家资产管理有限责任公司,太平洋资产管理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10,509,531,321.97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A32099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71,209,621.75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1.025441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1.025441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1,300,817,759.98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1.025418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1.025418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140,702,395.24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1.025466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1.025466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债券收益率窄幅波动，十年国债到期收益率先下后上从1.86%微幅下行至1.85%。</w:t>
        <w:br w:type="textWrapping" w:clear="all"/>
      </w:r>
      <w:r>
        <w:rPr>
          <w:rFonts w:hint="eastAsia" w:ascii="方正仿宋简体" w:eastAsia="方正仿宋简体"/>
          <w:sz w:val="24"/>
          <w:szCs w:val="24"/>
        </w:rPr>
        <w:t>  展望后市，一方面经济弱复苏格局延续，内需疲软、通缩压力仍存，制造业PMI及核心CPI数据持续承压，为货币政策维持宽松提供空间，叠加资金面大概率保持充裕，债市仍具备结构性机会。另一方面长久期债券供需矛盾凸显，超长债供给抬升但基金、保险等配置需求减弱，期限结构错配问题待解，制约长端利率下行空间。后续关注政府债供给节奏、货币政策落地力度、两会政策预期及信用风险事件等因素带来的市场变动，把握波动带来的资产配置窗口。</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控制回撤。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截至报告期末，本产品A32086份额净值为1.025519元，A32099份额净值为1.025441元，A32105份额净值为1.025418元，A32125份额净值为1.025466元。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99.57%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0.43%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2,299,512,704.22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1,838,962,363.58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1,046,996,023.12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658,989,598.71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580,136,940.62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ZJQTT202511170021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兴业信托-兴南恒盈1号集合资金信托计划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500,332,688.41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XJCKX202512290002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浦发银行南京分行活期存款（约期）20251229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ZJQTT202512160001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200,139,987.99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112503219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25农业银行CD219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196,796,400.00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0101040000001619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南银理财鼎瑞悦稳最低持有14天4号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产品投资于关联方承销的证券交易金额575,292,284.94元。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产品与关联方作为交易对手开展的投融资业务交易金额130,000,000.00元。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产品投资关联方作为管理人的资产管理产品交易金额2,593,000,000.00元。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产品支付关联方托管费454.87元，支付关联方代销费185.87元。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