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xsi="http://www.w3.org/2001/XMLSchema-instance"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南银理财添瑞日日聚宝7号现金管理类公募人民币理财产品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6"/>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南银理财添瑞日日聚宝7号现金管理类公募人民币理财产品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Z7003224000030（投资者可依据该编码在中国理财网www.chinawealth.com.cn查询理财产品相关信息）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2024年01月18日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4,480,028,221.81份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华润深国投信托有限公司,安徽国元信托有限责任公司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6"/>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A20008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431,358,652.70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A21008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1,107,337,516.64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A23008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260,805,810.41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A24008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1,840,478,740.94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A25008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723,404,026.20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A26008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87,619,608.40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A27008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8,292,867.44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A28008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20,730,999.08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bl>
    <w:p>
      <w:pPr>
        <w:pStyle w:val="11"/>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债券方面，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信用债收益率窄幅波动，利差主动走阔后维持震荡。</w:t>
        <w:br w:type="textWrapping" w:clear="all"/>
      </w:r>
      <w:r>
        <w:rPr>
          <w:rFonts w:hint="eastAsia" w:ascii="方正仿宋简体" w:eastAsia="方正仿宋简体"/>
          <w:sz w:val="24"/>
          <w:szCs w:val="24"/>
        </w:rPr>
        <w:t>  展望一季度，当前市场的交易叙事仍然是有利于风险资产而不利于债券。美国经济走强、降息预期后移、中美元首会晤，全球风险偏好均有抬升，市场对“春季躁动”行情的预期极其一致。考虑到1月下旬会迎来一波地方债的供给高峰，保险分红险占比提升导致配置力量缺位，市场对久期的偏好预计仍维持在较低的水平，判断市场压力的充分释放可能要看到供给冲击交易结束和相关利差的充分走阔。货币政策方面，未来一段时间适度宽松的货币环境较为确定，短期内因股市向好和供给冲击导致的债市调整给我们带来了较好的投资机会。</w:t>
        <w:br w:type="textWrapping" w:clear="all"/>
      </w:r>
      <w:r>
        <w:rPr>
          <w:rFonts w:hint="eastAsia" w:ascii="方正仿宋简体" w:eastAsia="方正仿宋简体"/>
          <w:sz w:val="24"/>
          <w:szCs w:val="24"/>
        </w:rPr>
        <w:t>  操作方面，产品将继续在保证流动性安全、守住信用风险底线的基础上，灵活运用杠杆增厚收益，强化资产甄选和获取能力，为客户提供稳定的收益回报，持续提升客户体验。</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  下阶段产品将继续保持稳健的投资风格，做好流动性预判和资产到期分布安排，保持较高的流动性资产比例，防范流动性风险。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A20008份额净值为1.0000元，A21008份额净值为1.0000元，A23008份额净值为1.0000元，A24008份额净值为1.0000元，A25008份额净值为1.0000元，A26008份额净值为1.0000元，A27008份额净值为1.0000元，A28008份额净值为1.0000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6"/>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6"/>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ZJQTT202305230001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华润信托鑫瑞日享1号集合资金信托计划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2,122,209,453.75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47.37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XJCKX202404150001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农业银行深圳分行活期存款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400,042,800.38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ZJQTT202309130002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华润信托鑫瑞日享2号集合资金信托计划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100,709,449.37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09240402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24农发清发02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100,066,143.08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DQCKX202504100001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徽商银行定期存款20250410A</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DQCKX202510170001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浙商银行定期存款20251017</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DQCKX202508220001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恒丰银行定期存款20250822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DQCKX202512050001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江苏银行定期存款20251205</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IBD20251217300092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331日线上同业存款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IBD20251212300081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364日线上同业存款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6"/>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6"/>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0101020000000890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南京银行南京分行南银理财添瑞日日聚宝7号</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产品支付关联方托管费106,413.70元，支付关联方代销费0.00元。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line="360" w:lineRule="auto"/>
        <w:jc w:val="center"/>
        <w:rPr>
          <w:rFonts w:hint="eastAsia" w:ascii="方正仿宋简体" w:eastAsia="方正仿宋简体"/>
          <w:b/>
          <w:sz w:val="24"/>
          <w:szCs w:val="24"/>
        </w:rPr>
      </w:pPr>
      <w:r>
        <w:rPr>
          <w:rFonts w:hint="eastAsia" w:ascii="方正仿宋简体" w:eastAsia="方正仿宋简体"/>
          <w:b/>
          <w:sz w:val="24"/>
          <w:szCs w:val="24"/>
        </w:rPr>
        <w:t>§7 现金管理类理财产品持有份额不低于20%投资者情况</w:t>
      </w:r>
    </w:p>
    <w:tbl>
      <w:tblPr>
        <w:tblStyle w:val="6"/>
        <w:tblW w:w="11280" w:type="dxa"/>
        <w:jc w:val="center"/>
        <w:tblInd w:w="-9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335"/>
        <w:gridCol w:w="1560"/>
        <w:gridCol w:w="1515"/>
        <w:gridCol w:w="1787"/>
        <w:gridCol w:w="1701"/>
        <w:gridCol w:w="1792"/>
        <w:gridCol w:w="1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hAnsi="Calibri" w:eastAsia="方正仿宋简体"/>
                <w:sz w:val="24"/>
                <w:szCs w:val="24"/>
                <w:shd w:val="clear" w:color="auto" w:fill="FFFFFF"/>
              </w:rPr>
              <w:t>序号</w:t>
            </w:r>
          </w:p>
        </w:tc>
        <w:tc>
          <w:tcPr>
            <w:tcW w:w="1560"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日期</w:t>
            </w:r>
          </w:p>
        </w:tc>
        <w:tc>
          <w:tcPr>
            <w:tcW w:w="1515" w:type="dxa"/>
            <w:vAlign w:val="center"/>
          </w:tcPr>
          <w:p>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投资者类别</w:t>
            </w:r>
          </w:p>
        </w:tc>
        <w:tc>
          <w:tcPr>
            <w:tcW w:w="1787" w:type="dxa"/>
            <w:vAlign w:val="center"/>
          </w:tcPr>
          <w:p>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持有份额</w:t>
            </w:r>
          </w:p>
        </w:tc>
        <w:tc>
          <w:tcPr>
            <w:tcW w:w="1701" w:type="dxa"/>
            <w:vAlign w:val="center"/>
          </w:tcPr>
          <w:p>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占总份额比例</w:t>
            </w:r>
          </w:p>
        </w:tc>
        <w:tc>
          <w:tcPr>
            <w:tcW w:w="1792" w:type="dxa"/>
            <w:vAlign w:val="center"/>
          </w:tcPr>
          <w:p>
            <w:pPr>
              <w:spacing w:beforeLines="20" w:afterLines="20"/>
              <w:jc w:val="center"/>
              <w:rPr>
                <w:rFonts w:ascii="方正仿宋简体" w:eastAsia="方正仿宋简体"/>
                <w:sz w:val="24"/>
                <w:szCs w:val="24"/>
              </w:rPr>
            </w:pPr>
            <w:r>
              <w:rPr>
                <w:rFonts w:ascii="方正仿宋简体" w:eastAsia="方正仿宋简体"/>
                <w:sz w:val="24"/>
                <w:szCs w:val="24"/>
              </w:rPr>
              <w:t>持有份额</w:t>
            </w:r>
          </w:p>
          <w:p>
            <w:pPr>
              <w:spacing w:beforeLines="20" w:afterLines="20"/>
              <w:jc w:val="center"/>
              <w:rPr>
                <w:rFonts w:ascii="方正仿宋简体" w:eastAsia="方正仿宋简体"/>
                <w:sz w:val="24"/>
                <w:szCs w:val="24"/>
                <w:shd w:val="clear" w:color="auto" w:fill="FFFFFF"/>
              </w:rPr>
            </w:pPr>
            <w:r>
              <w:rPr>
                <w:rFonts w:ascii="方正仿宋简体" w:eastAsia="方正仿宋简体"/>
                <w:sz w:val="24"/>
                <w:szCs w:val="24"/>
              </w:rPr>
              <w:t>变化情况</w:t>
            </w:r>
          </w:p>
        </w:tc>
        <w:tc>
          <w:tcPr>
            <w:tcW w:w="1590"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产品风险</w:t>
            </w:r>
          </w:p>
        </w:tc>
      </w:tr>
      <w:tr>
        <w:trPr xsi:nil="true"/>
        <w:tc>
          <w:tcPr>
            <w:tcW w:w="1335" w:type="dxa"/>
            <w:vAlign w:val="center"/>
            <w:vAlign w:val="center"/>
          </w:tcPr>
          <w:p>
            <w:pPr>
              <w:spacing w:before="240" w:line="360" w:lineRule="auto"/>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w:t>
            </w:r>
          </w:p>
        </w:tc>
        <w:tc>
          <w:tcPr>
            <w:tcW w:w="1560" w:type="dxa"/>
            <w:vAlign w:val="center"/>
            <w:vAlign w:val="center"/>
          </w:tcPr>
          <w:p>
            <w:pPr>
              <w:spacing w:before="240" w:line="360" w:lineRule="auto"/>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w:t>
            </w:r>
          </w:p>
        </w:tc>
        <w:tc>
          <w:tcPr>
            <w:tcW w:w="1515" w:type="dxa"/>
            <w:vAlign w:val="center"/>
            <w:vAlign w:val="center"/>
          </w:tcPr>
          <w:p>
            <w:pPr>
              <w:spacing w:before="240" w:line="360" w:lineRule="auto"/>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w:t>
            </w:r>
          </w:p>
        </w:tc>
        <w:tc>
          <w:tcPr>
            <w:tcW w:w="1787" w:type="dxa"/>
            <w:vAlign w:val="center"/>
            <w:vAlign w:val="center"/>
          </w:tcPr>
          <w:p>
            <w:pPr>
              <w:spacing w:before="240" w:line="360" w:lineRule="auto"/>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w:t>
            </w:r>
          </w:p>
        </w:tc>
        <w:tc>
          <w:tcPr>
            <w:tcW w:w="1701" w:type="dxa"/>
            <w:vAlign w:val="center"/>
            <w:vAlign w:val="center"/>
          </w:tcPr>
          <w:p>
            <w:pPr>
              <w:spacing w:before="240" w:line="360" w:lineRule="auto"/>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w:t>
            </w:r>
          </w:p>
        </w:tc>
        <w:tc>
          <w:tcPr>
            <w:tcW w:w="1792" w:type="dxa"/>
            <w:vAlign w:val="center"/>
            <w:vAlign w:val="center"/>
          </w:tcPr>
          <w:p>
            <w:pPr>
              <w:spacing w:before="240" w:line="360" w:lineRule="auto"/>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w:t>
            </w:r>
          </w:p>
        </w:tc>
        <w:tc>
          <w:tcPr>
            <w:tcW w:w="1590" w:type="dxa"/>
            <w:vAlign w:val="center"/>
            <w:vAlign w:val="center"/>
          </w:tcPr>
          <w:p>
            <w:pPr>
              <w:spacing w:before="240" w:line="360" w:lineRule="auto"/>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w:t>
            </w:r>
          </w:p>
        </w:tc>
      </w:tr>
    </w:tbl>
    <w:p>
      <w:pPr>
        <w:spacing w:before="240" w:after="72" w:line="360" w:lineRule="auto"/>
        <w:jc w:val="both"/>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spacing w:after="72"/>
      <w:rPr>
        <w:rStyle w:val="8"/>
      </w:rPr>
    </w:pPr>
    <w:r>
      <w:fldChar w:fldCharType="begin"/>
    </w:r>
    <w:r>
      <w:rPr>
        <w:rStyle w:val="8"/>
      </w:rPr>
      <w:instrText xml:space="preserve">PAGE  </w:instrText>
    </w:r>
    <w:r>
      <w:fldChar w:fldCharType="end"/>
    </w:r>
  </w:p>
  <w:p>
    <w:pPr>
      <w:pStyle w:val="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D66E2"/>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0362867"/>
    <w:rsid w:val="2651710C"/>
    <w:rsid w:val="2C5F4270"/>
    <w:rsid w:val="341F714B"/>
    <w:rsid w:val="4B0132D2"/>
    <w:rsid w:val="57DD4EC8"/>
    <w:rsid w:val="611546EB"/>
    <w:rsid w:val="6C686480"/>
    <w:rsid w:val="6DBF574D"/>
    <w:rsid w:val="73B04A1E"/>
    <w:rsid w:val="7A6723D9"/>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1"/>
    <w:pPr>
      <w:autoSpaceDE w:val="0"/>
      <w:autoSpaceDN w:val="0"/>
      <w:spacing w:afterLines="0"/>
      <w:jc w:val="left"/>
    </w:pPr>
    <w:rPr>
      <w:rFonts w:ascii="宋体" w:hAnsi="宋体" w:cs="宋体"/>
      <w:kern w:val="0"/>
      <w:szCs w:val="21"/>
      <w:lang w:val="zh-CN" w:bidi="zh-CN"/>
    </w:rPr>
  </w:style>
  <w:style w:type="paragraph" w:styleId="3">
    <w:name w:val="footer"/>
    <w:basedOn w:val="1"/>
    <w:link w:val="9"/>
    <w:unhideWhenUsed/>
    <w:qFormat/>
    <w:uiPriority w:val="99"/>
    <w:pPr>
      <w:tabs>
        <w:tab w:val="center" w:pos="4153"/>
        <w:tab w:val="right" w:pos="8306"/>
      </w:tabs>
      <w:snapToGrid w:val="0"/>
      <w:jc w:val="left"/>
    </w:pPr>
    <w:rPr>
      <w:rFonts w:eastAsiaTheme="minorEastAsia"/>
      <w:sz w:val="18"/>
      <w:szCs w:val="18"/>
    </w:rPr>
  </w:style>
  <w:style w:type="paragraph" w:styleId="4">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8">
    <w:name w:val="page number"/>
    <w:basedOn w:val="7"/>
    <w:unhideWhenUsed/>
    <w:qFormat/>
    <w:uiPriority w:val="99"/>
  </w:style>
  <w:style w:type="character" w:customStyle="1" w:styleId="9">
    <w:name w:val="页脚 Char"/>
    <w:link w:val="3"/>
    <w:qFormat/>
    <w:locked/>
    <w:uiPriority w:val="99"/>
    <w:rPr>
      <w:rFonts w:ascii="Times New Roman" w:hAnsi="Times New Roman" w:cs="Times New Roman"/>
      <w:sz w:val="18"/>
      <w:szCs w:val="18"/>
    </w:rPr>
  </w:style>
  <w:style w:type="character" w:customStyle="1" w:styleId="10">
    <w:name w:val="页脚 Char1"/>
    <w:basedOn w:val="7"/>
    <w:semiHidden/>
    <w:qFormat/>
    <w:uiPriority w:val="99"/>
    <w:rPr>
      <w:rFonts w:ascii="Times New Roman" w:hAnsi="Times New Roman" w:eastAsia="宋体" w:cs="Times New Roman"/>
      <w:sz w:val="18"/>
      <w:szCs w:val="18"/>
    </w:rPr>
  </w:style>
  <w:style w:type="paragraph" w:customStyle="1" w:styleId="11">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2">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3">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4">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5">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6">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7">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8">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20">
    <w:name w:val="页眉 Char"/>
    <w:basedOn w:val="7"/>
    <w:link w:val="4"/>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2025-09-04T00:54:25Z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