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ageBreakBefore/>
        <w:spacing w:before="0" w:beforeAutospacing="0" w:after="0" w:afterAutospacing="0" w:line="360" w:lineRule="auto"/>
        <w:jc w:val="center"/>
        <w:outlineLvl w:val="0"/>
        <w:rPr>
          <w:rFonts w:ascii="楷体" w:hAnsi="楷体" w:eastAsia="楷体"/>
          <w:b/>
          <w:sz w:val="32"/>
          <w:szCs w:val="32"/>
          <w:highlight w:val="none"/>
        </w:rPr>
      </w:pPr>
      <w:r>
        <w:rPr>
          <w:rFonts w:hint="eastAsia" w:ascii="楷体" w:hAnsi="楷体" w:eastAsia="楷体"/>
          <w:b/>
          <w:sz w:val="32"/>
          <w:szCs w:val="32"/>
          <w:highlight w:val="none"/>
        </w:rPr>
        <w:t>“苏银理财启源</w:t>
      </w:r>
      <w:r>
        <w:rPr>
          <w:rFonts w:hint="eastAsia" w:ascii="楷体" w:hAnsi="楷体" w:eastAsia="楷体"/>
          <w:b/>
          <w:sz w:val="32"/>
          <w:szCs w:val="32"/>
          <w:highlight w:val="none"/>
          <w:lang w:eastAsia="zh-CN"/>
        </w:rPr>
        <w:t>现金</w:t>
      </w:r>
      <w:r>
        <w:rPr>
          <w:rFonts w:hint="eastAsia" w:ascii="楷体" w:hAnsi="楷体" w:eastAsia="楷体"/>
          <w:b/>
          <w:sz w:val="32"/>
          <w:szCs w:val="32"/>
          <w:highlight w:val="none"/>
        </w:rPr>
        <w:t>1号”理财产品风险揭示书</w:t>
      </w:r>
    </w:p>
    <w:p>
      <w:pPr>
        <w:jc w:val="center"/>
        <w:outlineLvl w:val="1"/>
        <w:rPr>
          <w:rFonts w:ascii="楷体" w:hAnsi="楷体" w:eastAsia="楷体" w:cs="宋体"/>
          <w:b/>
          <w:kern w:val="0"/>
          <w:sz w:val="32"/>
          <w:szCs w:val="32"/>
          <w:highlight w:val="none"/>
        </w:rPr>
      </w:pPr>
      <w:r>
        <w:rPr>
          <w:rFonts w:hint="eastAsia" w:ascii="楷体" w:hAnsi="楷体" w:eastAsia="楷体" w:cs="宋体"/>
          <w:b/>
          <w:kern w:val="0"/>
          <w:sz w:val="32"/>
          <w:szCs w:val="32"/>
          <w:highlight w:val="none"/>
        </w:rPr>
        <w:t>理财非存款、产品有风险、投资须谨慎</w:t>
      </w:r>
    </w:p>
    <w:p>
      <w:pPr>
        <w:pStyle w:val="12"/>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2"/>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由于理财资金在管理运用过程中可能面临多种风险因素，根据</w:t>
      </w:r>
      <w:r>
        <w:rPr>
          <w:rFonts w:hint="eastAsia" w:ascii="楷体" w:hAnsi="楷体" w:eastAsia="楷体" w:cs="Times New Roman"/>
          <w:highlight w:val="none"/>
          <w:lang w:val="en-US" w:eastAsia="zh-CN"/>
        </w:rPr>
        <w:t>国家金融监督管理总局（以下简称“金融监管总局”）</w:t>
      </w:r>
      <w:r>
        <w:rPr>
          <w:rFonts w:hint="eastAsia" w:ascii="楷体" w:hAnsi="楷体" w:eastAsia="楷体" w:cs="Times New Roman"/>
          <w:highlight w:val="none"/>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2"/>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苏银理财作为本理财产品管理人承诺以诚实信用、勤勉尽责的原则管理和运用理财产品资产，</w:t>
      </w:r>
      <w:r>
        <w:rPr>
          <w:rFonts w:hint="eastAsia" w:ascii="楷体" w:hAnsi="楷体" w:eastAsia="楷体" w:cs="Times New Roman"/>
          <w:b/>
          <w:highlight w:val="none"/>
        </w:rPr>
        <w:t>但不保证理财产品一定盈利，也不保证最低收益，极端情况下有可能会损失部分甚至全部本金。</w:t>
      </w:r>
      <w:r>
        <w:rPr>
          <w:rFonts w:hint="eastAsia" w:ascii="楷体" w:hAnsi="楷体" w:eastAsia="楷体" w:cs="Times New Roman"/>
          <w:highlight w:val="none"/>
        </w:rPr>
        <w:t>本风险揭示书旨在揭示本理财产品可能面临的各种风险，请您务必充分认识以下风险。</w:t>
      </w:r>
    </w:p>
    <w:p>
      <w:pPr>
        <w:numPr>
          <w:ilvl w:val="0"/>
          <w:numId w:val="1"/>
        </w:numPr>
        <w:tabs>
          <w:tab w:val="left" w:pos="1134"/>
        </w:tabs>
        <w:ind w:left="0" w:firstLine="562" w:firstLineChars="200"/>
        <w:outlineLvl w:val="1"/>
        <w:rPr>
          <w:rFonts w:ascii="楷体" w:hAnsi="楷体" w:eastAsia="楷体"/>
          <w:b/>
          <w:sz w:val="24"/>
          <w:szCs w:val="24"/>
          <w:highlight w:val="none"/>
        </w:rPr>
      </w:pPr>
      <w:r>
        <w:rPr>
          <w:rFonts w:hint="eastAsia" w:ascii="楷体" w:hAnsi="楷体" w:eastAsia="楷体"/>
          <w:b/>
          <w:sz w:val="28"/>
          <w:szCs w:val="28"/>
          <w:highlight w:val="none"/>
        </w:rPr>
        <w:t>风险揭示</w:t>
      </w:r>
    </w:p>
    <w:p>
      <w:pPr>
        <w:pStyle w:val="12"/>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政策风险：</w:t>
      </w:r>
      <w:r>
        <w:rPr>
          <w:rFonts w:hint="eastAsia" w:ascii="楷体" w:hAnsi="楷体" w:eastAsia="楷体"/>
          <w:sz w:val="24"/>
          <w:szCs w:val="24"/>
          <w:highlight w:val="none"/>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ind w:left="0" w:firstLine="482" w:firstLineChars="200"/>
        <w:rPr>
          <w:rFonts w:ascii="楷体" w:hAnsi="楷体" w:eastAsia="楷体"/>
          <w:b/>
          <w:sz w:val="24"/>
          <w:szCs w:val="24"/>
          <w:highlight w:val="none"/>
        </w:rPr>
      </w:pPr>
      <w:r>
        <w:rPr>
          <w:rFonts w:hint="eastAsia" w:ascii="楷体" w:hAnsi="楷体" w:eastAsia="楷体"/>
          <w:b/>
          <w:sz w:val="24"/>
          <w:szCs w:val="24"/>
          <w:highlight w:val="none"/>
        </w:rPr>
        <w:t>信用风险：</w:t>
      </w:r>
      <w:r>
        <w:rPr>
          <w:rFonts w:hint="eastAsia" w:ascii="楷体" w:hAnsi="楷体" w:eastAsia="楷体"/>
          <w:sz w:val="24"/>
          <w:szCs w:val="24"/>
          <w:highlight w:val="none"/>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市场风险：</w:t>
      </w:r>
      <w:r>
        <w:rPr>
          <w:rFonts w:hint="eastAsia" w:ascii="楷体" w:hAnsi="楷体" w:eastAsia="楷体"/>
          <w:sz w:val="24"/>
          <w:szCs w:val="24"/>
          <w:highlight w:val="none"/>
        </w:rPr>
        <w:t>本理财产品投资的债券等资产的价格受到经济因素、政治因素、投资心理和交易制度等各种因素的影响，可能导致本理财产品资产收益水平变化，投资者可能面临本金和收益遭受部分甚至全部损失的风险。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lang w:val="en-US" w:eastAsia="zh-CN"/>
        </w:rPr>
        <w:t>本金及理财产品收益风险：</w:t>
      </w:r>
      <w:r>
        <w:rPr>
          <w:rFonts w:hint="eastAsia" w:ascii="楷体" w:hAnsi="楷体" w:eastAsia="楷体"/>
          <w:sz w:val="24"/>
          <w:szCs w:val="24"/>
          <w:highlight w:val="none"/>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2"/>
        </w:numPr>
        <w:tabs>
          <w:tab w:val="left" w:pos="993"/>
        </w:tabs>
        <w:ind w:left="0" w:firstLine="482" w:firstLineChars="200"/>
        <w:rPr>
          <w:rFonts w:ascii="楷体" w:hAnsi="楷体" w:eastAsia="楷体"/>
          <w:b/>
          <w:sz w:val="24"/>
          <w:szCs w:val="24"/>
          <w:highlight w:val="none"/>
        </w:rPr>
      </w:pPr>
      <w:r>
        <w:rPr>
          <w:rFonts w:hint="eastAsia" w:ascii="楷体" w:hAnsi="楷体" w:eastAsia="楷体"/>
          <w:b/>
          <w:sz w:val="24"/>
          <w:szCs w:val="24"/>
          <w:highlight w:val="none"/>
        </w:rPr>
        <w:t>流动性风险：</w:t>
      </w:r>
      <w:r>
        <w:rPr>
          <w:rFonts w:hint="eastAsia" w:ascii="楷体" w:hAnsi="楷体" w:eastAsia="楷体"/>
          <w:b w:val="0"/>
          <w:bCs/>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在本理财产品存续期内，投资者只能在理财产品说明书规定的时间和条件内办理申购与赎回，这可能影响投资者的资金安排，带来流动性风险。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管理风险：</w:t>
      </w:r>
      <w:r>
        <w:rPr>
          <w:rFonts w:hint="eastAsia" w:ascii="楷体" w:hAnsi="楷体" w:eastAsia="楷体"/>
          <w:sz w:val="24"/>
          <w:szCs w:val="24"/>
          <w:highlight w:val="none"/>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操作风险：</w:t>
      </w:r>
      <w:r>
        <w:rPr>
          <w:rFonts w:hint="eastAsia" w:ascii="楷体" w:hAnsi="楷体" w:eastAsia="楷体"/>
          <w:sz w:val="24"/>
          <w:szCs w:val="24"/>
          <w:highlight w:val="none"/>
        </w:rPr>
        <w:t>如本理财产品管理人由于内部作业、人员管理、系统操作及事务处理不当或失误等，则投资者可能面临本金和收益遭受部分甚至全部损失的风险。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产品不成立风险：</w:t>
      </w:r>
      <w:r>
        <w:rPr>
          <w:rFonts w:hint="eastAsia" w:ascii="楷体" w:hAnsi="楷体" w:eastAsia="楷体"/>
          <w:sz w:val="24"/>
          <w:szCs w:val="24"/>
          <w:highlight w:val="none"/>
        </w:rPr>
        <w:t>如果因募集规模低于说明书约定的最低规模或其他因素导致本理财产品不能成立的情形，苏银理财有权宣布该理财产品不成立，投资者将面临再投资风险。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延期兑付风险：</w:t>
      </w:r>
      <w:r>
        <w:rPr>
          <w:rFonts w:hint="eastAsia" w:ascii="楷体" w:hAnsi="楷体" w:eastAsia="楷体"/>
          <w:sz w:val="24"/>
          <w:szCs w:val="24"/>
          <w:highlight w:val="none"/>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提前终止风险：</w:t>
      </w:r>
      <w:r>
        <w:rPr>
          <w:rFonts w:hint="eastAsia" w:ascii="楷体" w:hAnsi="楷体" w:eastAsia="楷体"/>
          <w:sz w:val="24"/>
          <w:szCs w:val="24"/>
          <w:highlight w:val="none"/>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信息传递风险：</w:t>
      </w:r>
      <w:r>
        <w:rPr>
          <w:rFonts w:hint="eastAsia" w:ascii="楷体" w:hAnsi="楷体" w:eastAsia="楷体"/>
          <w:sz w:val="24"/>
          <w:szCs w:val="24"/>
          <w:highlight w:val="none"/>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税务风险：</w:t>
      </w:r>
      <w:r>
        <w:rPr>
          <w:rFonts w:hint="eastAsia" w:ascii="楷体" w:hAnsi="楷体" w:eastAsia="楷体"/>
          <w:sz w:val="24"/>
          <w:szCs w:val="24"/>
          <w:highlight w:val="none"/>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lang w:eastAsia="zh-CN"/>
        </w:rPr>
        <w:t>）</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bCs/>
          <w:sz w:val="24"/>
          <w:szCs w:val="24"/>
          <w:highlight w:val="none"/>
        </w:rPr>
        <w:t>理财产品的份额类别差异风险：</w:t>
      </w:r>
      <w:r>
        <w:rPr>
          <w:rFonts w:hint="eastAsia" w:ascii="楷体" w:hAnsi="楷体" w:eastAsia="楷体"/>
          <w:sz w:val="24"/>
          <w:szCs w:val="24"/>
          <w:highlight w:val="none"/>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不可抗力风险：</w:t>
      </w:r>
      <w:r>
        <w:rPr>
          <w:rFonts w:hint="eastAsia" w:ascii="楷体" w:hAnsi="楷体" w:eastAsia="楷体"/>
          <w:sz w:val="24"/>
          <w:szCs w:val="24"/>
          <w:highlight w:val="none"/>
        </w:rPr>
        <w:t>自然灾害、疫情、严重传染病</w:t>
      </w:r>
      <w:r>
        <w:rPr>
          <w:rFonts w:hint="eastAsia" w:ascii="楷体" w:hAnsi="楷体" w:eastAsia="楷体"/>
          <w:sz w:val="24"/>
          <w:szCs w:val="24"/>
          <w:highlight w:val="none"/>
          <w:lang w:eastAsia="zh-CN"/>
        </w:rPr>
        <w:t>、</w:t>
      </w:r>
      <w:r>
        <w:rPr>
          <w:rFonts w:hint="eastAsia" w:ascii="楷体" w:hAnsi="楷体" w:eastAsia="楷体"/>
          <w:sz w:val="24"/>
          <w:szCs w:val="24"/>
          <w:highlight w:val="none"/>
        </w:rPr>
        <w:t>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82" w:firstLineChars="200"/>
        <w:rPr>
          <w:rFonts w:ascii="楷体" w:hAnsi="楷体" w:eastAsia="楷体"/>
          <w:b/>
          <w:sz w:val="24"/>
          <w:szCs w:val="24"/>
          <w:highlight w:val="none"/>
        </w:rPr>
      </w:pPr>
      <w:r>
        <w:rPr>
          <w:rFonts w:hint="eastAsia" w:ascii="楷体" w:hAnsi="楷体" w:eastAsia="楷体"/>
          <w:b/>
          <w:sz w:val="24"/>
          <w:szCs w:val="24"/>
          <w:highlight w:val="none"/>
        </w:rPr>
        <w:t>债券投资的特殊风险</w:t>
      </w:r>
    </w:p>
    <w:p>
      <w:pPr>
        <w:numPr>
          <w:ilvl w:val="0"/>
          <w:numId w:val="3"/>
        </w:numPr>
        <w:tabs>
          <w:tab w:val="left" w:pos="742"/>
        </w:tabs>
        <w:ind w:left="0" w:firstLine="480" w:firstLineChars="200"/>
        <w:outlineLvl w:val="2"/>
        <w:rPr>
          <w:rFonts w:hint="eastAsia" w:ascii="楷体" w:hAnsi="楷体" w:eastAsia="楷体"/>
          <w:sz w:val="24"/>
          <w:szCs w:val="24"/>
          <w:highlight w:val="none"/>
        </w:rPr>
      </w:pPr>
      <w:r>
        <w:rPr>
          <w:rFonts w:hint="eastAsia" w:ascii="楷体" w:hAnsi="楷体" w:eastAsia="楷体"/>
          <w:sz w:val="24"/>
          <w:szCs w:val="24"/>
          <w:highlight w:val="none"/>
        </w:rPr>
        <w:t>债券投资的特殊风险</w:t>
      </w:r>
    </w:p>
    <w:p>
      <w:pPr>
        <w:numPr>
          <w:ilvl w:val="0"/>
          <w:numId w:val="4"/>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市场平均利率水平变化导致债券价格变化的风险。</w:t>
      </w:r>
    </w:p>
    <w:p>
      <w:pPr>
        <w:numPr>
          <w:ilvl w:val="0"/>
          <w:numId w:val="4"/>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债券市场不同期限、不同类别债券之间的利差变动导致相应期限和类别债券价格变化的风险。</w:t>
      </w:r>
    </w:p>
    <w:p>
      <w:pPr>
        <w:numPr>
          <w:ilvl w:val="0"/>
          <w:numId w:val="4"/>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4"/>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债券发行人、担保人出现违约拒绝支付到期本息，或由于债券发行人、担保人信用质量降低导致债券价格下降及无法收回投资收益的风险。</w:t>
      </w:r>
    </w:p>
    <w:p>
      <w:pPr>
        <w:numPr>
          <w:ilvl w:val="0"/>
          <w:numId w:val="4"/>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与信用等级较高的债券相比，投资于信用等级较低的债券将因为发行主体的偿还债务能力略低、受不利经济环境的影响更大以及违约风险更高等原因而面临更大的投资风险。</w:t>
      </w:r>
    </w:p>
    <w:p>
      <w:pPr>
        <w:numPr>
          <w:ilvl w:val="0"/>
          <w:numId w:val="4"/>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ind w:left="0" w:firstLine="480" w:firstLineChars="200"/>
        <w:outlineLvl w:val="2"/>
        <w:rPr>
          <w:rFonts w:hint="eastAsia" w:ascii="楷体" w:hAnsi="楷体" w:eastAsia="楷体"/>
          <w:sz w:val="24"/>
          <w:szCs w:val="24"/>
          <w:highlight w:val="none"/>
        </w:rPr>
      </w:pPr>
      <w:r>
        <w:rPr>
          <w:rFonts w:hint="eastAsia" w:ascii="楷体" w:hAnsi="楷体" w:eastAsia="楷体"/>
          <w:sz w:val="24"/>
          <w:szCs w:val="24"/>
          <w:highlight w:val="none"/>
        </w:rPr>
        <w:t>相关资产管理计划或基金份额的特殊风险：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资产管理计划或基金产品可能出现因为某种原因而被提前终止的情况，由此可能会造成对本理财产品投资收益的影响。</w:t>
      </w:r>
    </w:p>
    <w:p>
      <w:pPr>
        <w:numPr>
          <w:ilvl w:val="0"/>
          <w:numId w:val="5"/>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pStyle w:val="12"/>
        <w:spacing w:before="0" w:beforeAutospacing="0" w:after="0" w:afterAutospacing="0"/>
        <w:ind w:firstLine="482" w:firstLineChars="200"/>
        <w:rPr>
          <w:rFonts w:ascii="楷体" w:hAnsi="楷体" w:eastAsia="楷体"/>
          <w:b/>
          <w:highlight w:val="none"/>
          <w:u w:val="single"/>
        </w:rPr>
      </w:pPr>
      <w:r>
        <w:rPr>
          <w:rFonts w:hint="eastAsia" w:ascii="楷体" w:hAnsi="楷体" w:eastAsia="楷体"/>
          <w:b/>
          <w:highlight w:val="none"/>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ascii="楷体" w:hAnsi="楷体" w:eastAsia="楷体"/>
          <w:b/>
          <w:highlight w:val="none"/>
          <w:u w:val="single"/>
        </w:rPr>
      </w:pPr>
      <w:r>
        <w:rPr>
          <w:rFonts w:hint="eastAsia" w:ascii="楷体" w:hAnsi="楷体" w:eastAsia="楷体"/>
          <w:b/>
          <w:highlight w:val="none"/>
          <w:u w:val="single"/>
        </w:rPr>
        <w:t>如影响您的风险承受能力的因素发生变化，请及时完成风险承受能力评估。</w:t>
      </w:r>
    </w:p>
    <w:p>
      <w:pPr>
        <w:pStyle w:val="12"/>
        <w:spacing w:before="0" w:beforeAutospacing="0" w:after="0" w:afterAutospacing="0"/>
        <w:ind w:firstLine="482" w:firstLineChars="200"/>
        <w:rPr>
          <w:rFonts w:ascii="楷体" w:hAnsi="楷体" w:eastAsia="楷体"/>
          <w:b/>
          <w:highlight w:val="none"/>
          <w:u w:val="single"/>
        </w:rPr>
      </w:pPr>
    </w:p>
    <w:p>
      <w:pPr>
        <w:numPr>
          <w:ilvl w:val="0"/>
          <w:numId w:val="1"/>
        </w:numPr>
        <w:tabs>
          <w:tab w:val="left" w:pos="1134"/>
        </w:tabs>
        <w:ind w:left="0" w:firstLine="562" w:firstLineChars="200"/>
        <w:outlineLvl w:val="1"/>
        <w:rPr>
          <w:rFonts w:ascii="楷体" w:hAnsi="楷体" w:eastAsia="楷体"/>
          <w:b/>
          <w:sz w:val="28"/>
          <w:szCs w:val="28"/>
          <w:highlight w:val="none"/>
        </w:rPr>
      </w:pPr>
      <w:r>
        <w:rPr>
          <w:rFonts w:hint="eastAsia" w:ascii="楷体" w:hAnsi="楷体" w:eastAsia="楷体"/>
          <w:b/>
          <w:sz w:val="28"/>
          <w:szCs w:val="28"/>
          <w:highlight w:val="none"/>
        </w:rPr>
        <w:t>投资者提示</w:t>
      </w:r>
    </w:p>
    <w:p>
      <w:pPr>
        <w:tabs>
          <w:tab w:val="left" w:pos="742"/>
        </w:tabs>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1.本理财产品不保证本金及收益，您的本金可能因市场变动或者交易违约等事项而蒙受相应损失。投资者应充分认识投资风险，谨慎投资。</w:t>
      </w:r>
    </w:p>
    <w:p>
      <w:pPr>
        <w:tabs>
          <w:tab w:val="left" w:pos="742"/>
        </w:tabs>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2.本理财产品过往业绩不代表其未来表现，不等于理财产品实际收益，投资须谨慎。理财非存款、产品有风险、投资须谨慎。</w:t>
      </w:r>
    </w:p>
    <w:p>
      <w:pPr>
        <w:tabs>
          <w:tab w:val="left" w:pos="993"/>
        </w:tabs>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3.管理人系江苏银行股份有限公司（下称"江苏银行"）全资子公司，江苏银行为管理人关联方。</w:t>
      </w:r>
      <w:r>
        <w:rPr>
          <w:rFonts w:hint="eastAsia" w:ascii="楷体" w:hAnsi="楷体" w:eastAsia="楷体"/>
          <w:b/>
          <w:sz w:val="24"/>
          <w:szCs w:val="24"/>
          <w:highlight w:val="none"/>
          <w:u w:val="single"/>
          <w:lang w:val="en-US" w:eastAsia="zh-CN"/>
        </w:rPr>
        <w:t>如</w:t>
      </w:r>
      <w:r>
        <w:rPr>
          <w:rFonts w:hint="eastAsia" w:ascii="楷体" w:hAnsi="楷体" w:eastAsia="楷体"/>
          <w:b/>
          <w:sz w:val="24"/>
          <w:szCs w:val="24"/>
          <w:highlight w:val="none"/>
          <w:u w:val="single"/>
        </w:rPr>
        <w:t>本理财产品销售机构</w:t>
      </w:r>
      <w:r>
        <w:rPr>
          <w:rFonts w:hint="eastAsia" w:ascii="楷体" w:hAnsi="楷体" w:eastAsia="楷体"/>
          <w:b/>
          <w:sz w:val="24"/>
          <w:szCs w:val="24"/>
          <w:highlight w:val="none"/>
          <w:u w:val="single"/>
          <w:lang w:val="en-US" w:eastAsia="zh-CN"/>
        </w:rPr>
        <w:t>为</w:t>
      </w:r>
      <w:r>
        <w:rPr>
          <w:rFonts w:hint="eastAsia" w:ascii="楷体" w:hAnsi="楷体" w:eastAsia="楷体"/>
          <w:b/>
          <w:sz w:val="24"/>
          <w:szCs w:val="24"/>
          <w:highlight w:val="none"/>
          <w:u w:val="single"/>
        </w:rPr>
        <w:t>江苏银行，</w:t>
      </w:r>
      <w:r>
        <w:rPr>
          <w:rFonts w:hint="eastAsia" w:ascii="楷体" w:hAnsi="楷体" w:eastAsia="楷体"/>
          <w:b/>
          <w:sz w:val="24"/>
          <w:szCs w:val="24"/>
          <w:highlight w:val="none"/>
          <w:u w:val="single"/>
          <w:lang w:val="en-US" w:eastAsia="zh-CN"/>
        </w:rPr>
        <w:t>则</w:t>
      </w:r>
      <w:r>
        <w:rPr>
          <w:rFonts w:hint="eastAsia" w:ascii="楷体" w:hAnsi="楷体" w:eastAsia="楷体"/>
          <w:b/>
          <w:sz w:val="24"/>
          <w:szCs w:val="24"/>
          <w:highlight w:val="none"/>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4.本理财产品类型为</w:t>
      </w:r>
      <w:r>
        <w:rPr>
          <w:rFonts w:hint="eastAsia" w:ascii="楷体" w:hAnsi="楷体" w:eastAsia="楷体" w:cs="Calibri"/>
          <w:b/>
          <w:sz w:val="24"/>
          <w:szCs w:val="24"/>
          <w:highlight w:val="none"/>
          <w:u w:val="single"/>
        </w:rPr>
        <w:t>固定收益类、公募、开放式</w:t>
      </w:r>
      <w:r>
        <w:rPr>
          <w:rFonts w:hint="eastAsia" w:ascii="楷体" w:hAnsi="楷体" w:eastAsia="楷体"/>
          <w:sz w:val="24"/>
          <w:szCs w:val="24"/>
          <w:highlight w:val="none"/>
        </w:rPr>
        <w:t>，产品管理人对本理财产品的内部风险评级为</w:t>
      </w:r>
      <w:r>
        <w:rPr>
          <w:rFonts w:hint="eastAsia" w:ascii="楷体" w:hAnsi="楷体" w:eastAsia="楷体"/>
          <w:b/>
          <w:sz w:val="24"/>
          <w:szCs w:val="24"/>
          <w:highlight w:val="none"/>
          <w:u w:val="single"/>
        </w:rPr>
        <w:t>★一级，适合</w:t>
      </w:r>
      <w:r>
        <w:rPr>
          <w:rFonts w:hint="eastAsia" w:ascii="楷体" w:hAnsi="楷体" w:eastAsia="楷体" w:cs="Calibri"/>
          <w:b/>
          <w:sz w:val="24"/>
          <w:szCs w:val="24"/>
          <w:highlight w:val="none"/>
          <w:u w:val="single"/>
        </w:rPr>
        <w:t>低风险型</w:t>
      </w:r>
      <w:r>
        <w:rPr>
          <w:rFonts w:hint="eastAsia" w:ascii="楷体" w:hAnsi="楷体" w:eastAsia="楷体"/>
          <w:b/>
          <w:sz w:val="24"/>
          <w:szCs w:val="24"/>
          <w:highlight w:val="none"/>
          <w:u w:val="single"/>
        </w:rPr>
        <w:t>投资者</w:t>
      </w:r>
      <w:r>
        <w:rPr>
          <w:rFonts w:hint="eastAsia" w:ascii="楷体" w:hAnsi="楷体" w:eastAsia="楷体"/>
          <w:sz w:val="24"/>
          <w:szCs w:val="24"/>
          <w:highlight w:val="none"/>
        </w:rPr>
        <w:t>。</w:t>
      </w:r>
      <w:r>
        <w:rPr>
          <w:rFonts w:hint="eastAsia" w:ascii="楷体" w:hAnsi="楷体" w:eastAsia="楷体"/>
          <w:b/>
          <w:sz w:val="24"/>
          <w:szCs w:val="24"/>
          <w:highlight w:val="none"/>
          <w:u w:val="single"/>
        </w:rPr>
        <w:t>该产品通过代理销售机构渠道销售的，理财产品评级应当以代理销售机构最终披露的评级结果为准。</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hint="eastAsia" w:ascii="楷体" w:hAnsi="楷体" w:eastAsia="楷体"/>
          <w:b/>
          <w:sz w:val="24"/>
          <w:szCs w:val="24"/>
          <w:highlight w:val="none"/>
          <w:lang w:eastAsia="zh-CN"/>
        </w:rPr>
      </w:pPr>
      <w:r>
        <w:rPr>
          <w:rFonts w:hint="eastAsia" w:ascii="楷体" w:hAnsi="楷体" w:eastAsia="楷体"/>
          <w:sz w:val="24"/>
          <w:szCs w:val="24"/>
          <w:highlight w:val="none"/>
        </w:rPr>
        <w:t>6.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sz w:val="24"/>
          <w:szCs w:val="24"/>
          <w:highlight w:val="none"/>
        </w:rPr>
        <w:t>您还应了解您所购买理财产品的投资风险、类型特点和投资存在的最不利投资情形：在最不利情况下，投资者甚至可能损失全部本金。示例：如投资者购买本理财产品，本金为1万元，在理财产品资产组合项下资产全部亏损的最不利情况下，理财产品1万元本金将全部损失</w:t>
      </w:r>
      <w:r>
        <w:rPr>
          <w:rFonts w:hint="eastAsia" w:ascii="楷体" w:hAnsi="楷体" w:eastAsia="楷体"/>
          <w:b/>
          <w:sz w:val="24"/>
          <w:szCs w:val="24"/>
          <w:highlight w:val="none"/>
          <w:lang w:eastAsia="zh-CN"/>
        </w:rPr>
        <w:t>。</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7.苏银理财及销售机构将据相关法律、法规严格履行投资者信息保密责任，除监管机构或司法机关等有权机构外，不得对其他第三方提供任何投资者信息。</w:t>
      </w:r>
    </w:p>
    <w:p>
      <w:pPr>
        <w:pStyle w:val="12"/>
        <w:spacing w:before="0" w:beforeAutospacing="0" w:after="0" w:afterAutospacing="0" w:line="360" w:lineRule="auto"/>
        <w:ind w:left="420"/>
        <w:jc w:val="right"/>
        <w:rPr>
          <w:rFonts w:ascii="楷体" w:hAnsi="楷体" w:eastAsia="楷体"/>
          <w:b/>
          <w:highlight w:val="none"/>
        </w:rPr>
      </w:pPr>
    </w:p>
    <w:p>
      <w:pPr>
        <w:pStyle w:val="12"/>
        <w:spacing w:before="0" w:beforeAutospacing="0" w:after="0" w:afterAutospacing="0" w:line="360" w:lineRule="auto"/>
        <w:ind w:left="420"/>
        <w:jc w:val="right"/>
        <w:rPr>
          <w:highlight w:val="none"/>
        </w:rPr>
      </w:pPr>
      <w:r>
        <w:rPr>
          <w:rFonts w:hint="eastAsia" w:ascii="楷体" w:hAnsi="楷体" w:eastAsia="楷体"/>
          <w:b/>
          <w:highlight w:val="none"/>
        </w:rPr>
        <w:t>风险揭示方：苏银理财有限责任公司</w:t>
      </w:r>
    </w:p>
    <w:p>
      <w:pPr>
        <w:pStyle w:val="12"/>
        <w:spacing w:before="0" w:beforeAutospacing="0" w:after="0" w:afterAutospacing="0" w:line="360" w:lineRule="auto"/>
        <w:jc w:val="center"/>
        <w:rPr>
          <w:rFonts w:ascii="楷体" w:hAnsi="楷体" w:eastAsia="楷体"/>
          <w:b/>
          <w:sz w:val="36"/>
          <w:szCs w:val="36"/>
          <w:highlight w:val="none"/>
        </w:rPr>
      </w:pPr>
    </w:p>
    <w:p>
      <w:pPr>
        <w:pStyle w:val="12"/>
        <w:spacing w:before="0" w:beforeAutospacing="0" w:after="0" w:afterAutospacing="0" w:line="360" w:lineRule="auto"/>
        <w:jc w:val="center"/>
        <w:rPr>
          <w:rFonts w:ascii="楷体" w:hAnsi="楷体" w:eastAsia="楷体"/>
          <w:b/>
          <w:sz w:val="36"/>
          <w:szCs w:val="36"/>
          <w:highlight w:val="none"/>
        </w:rPr>
      </w:pPr>
    </w:p>
    <w:p>
      <w:pPr>
        <w:pStyle w:val="12"/>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投资者风险确认函</w:t>
      </w:r>
    </w:p>
    <w:p>
      <w:pPr>
        <w:numPr>
          <w:ilvl w:val="0"/>
          <w:numId w:val="6"/>
        </w:numPr>
        <w:tabs>
          <w:tab w:val="left" w:pos="1134"/>
        </w:tabs>
        <w:ind w:firstLine="560" w:firstLineChars="200"/>
        <w:outlineLvl w:val="0"/>
        <w:rPr>
          <w:rFonts w:ascii="楷体" w:hAnsi="楷体" w:eastAsia="楷体"/>
          <w:sz w:val="28"/>
          <w:szCs w:val="28"/>
          <w:highlight w:val="none"/>
        </w:rPr>
      </w:pPr>
      <w:r>
        <w:rPr>
          <w:rFonts w:hint="eastAsia" w:ascii="楷体" w:hAnsi="楷体" w:eastAsia="楷体"/>
          <w:sz w:val="28"/>
          <w:szCs w:val="28"/>
          <w:highlight w:val="none"/>
        </w:rPr>
        <w:t>个人投资者确认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highlight w:val="none"/>
          <w:u w:val="single"/>
        </w:rPr>
        <w:t>本人承诺理财购买资金来源合法合规，本人将配合管理人及销售机构开展反洗钱、反恐怖融资及非居民金融账户涉税信息尽职调查等工作。</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经销售机构评估，本人的风险承受能力评级结果为</w:t>
      </w:r>
      <w:r>
        <w:rPr>
          <w:rFonts w:ascii="楷体" w:hAnsi="楷体" w:eastAsia="楷体"/>
          <w:b/>
          <w:sz w:val="24"/>
          <w:szCs w:val="24"/>
          <w:highlight w:val="none"/>
        </w:rPr>
        <w:t>：</w:t>
      </w:r>
    </w:p>
    <w:p>
      <w:pPr>
        <w:rPr>
          <w:rFonts w:ascii="楷体" w:hAnsi="楷体" w:eastAsia="楷体"/>
          <w:b/>
          <w:sz w:val="24"/>
          <w:szCs w:val="24"/>
          <w:highlight w:val="none"/>
        </w:rPr>
      </w:pPr>
    </w:p>
    <w:p>
      <w:pPr>
        <w:ind w:firstLine="480" w:firstLineChars="200"/>
        <w:rPr>
          <w:rFonts w:ascii="楷体" w:hAnsi="楷体" w:eastAsia="楷体"/>
          <w:sz w:val="24"/>
          <w:szCs w:val="24"/>
          <w:highlight w:val="none"/>
          <w:u w:val="single"/>
        </w:rPr>
      </w:pPr>
      <w:r>
        <w:rPr>
          <w:rFonts w:hint="eastAsia" w:ascii="楷体" w:hAnsi="楷体" w:eastAsia="楷体"/>
          <w:sz w:val="24"/>
          <w:szCs w:val="24"/>
          <w:highlight w:val="none"/>
          <w:u w:val="single"/>
        </w:rPr>
        <w:t xml:space="preserve">               </w:t>
      </w:r>
      <w:bookmarkStart w:id="0" w:name="_GoBack"/>
      <w:bookmarkEnd w:id="0"/>
      <w:r>
        <w:rPr>
          <w:rFonts w:hint="eastAsia" w:ascii="楷体" w:hAnsi="楷体" w:eastAsia="楷体"/>
          <w:sz w:val="24"/>
          <w:szCs w:val="24"/>
          <w:highlight w:val="none"/>
          <w:u w:val="single"/>
        </w:rPr>
        <w:t xml:space="preserve">                         （</w:t>
      </w:r>
      <w:r>
        <w:rPr>
          <w:rFonts w:hint="eastAsia" w:ascii="楷体" w:hAnsi="楷体" w:eastAsia="楷体"/>
          <w:b/>
          <w:sz w:val="24"/>
          <w:szCs w:val="24"/>
          <w:highlight w:val="none"/>
          <w:u w:val="single"/>
        </w:rPr>
        <w:t>投资者本人填写</w:t>
      </w:r>
      <w:r>
        <w:rPr>
          <w:rFonts w:hint="eastAsia" w:ascii="楷体" w:hAnsi="楷体" w:eastAsia="楷体"/>
          <w:sz w:val="24"/>
          <w:szCs w:val="24"/>
          <w:highlight w:val="none"/>
          <w:u w:val="singl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风险承受能力不低于本理财产品的风险评级，适合购买本理财产品。如风险承受能力评估已超过一年，</w:t>
      </w:r>
      <w:r>
        <w:rPr>
          <w:rFonts w:ascii="楷体" w:hAnsi="楷体" w:eastAsia="楷体"/>
          <w:sz w:val="24"/>
          <w:szCs w:val="24"/>
          <w:highlight w:val="none"/>
        </w:rPr>
        <w:t>或</w:t>
      </w:r>
      <w:r>
        <w:rPr>
          <w:rFonts w:hint="eastAsia" w:ascii="楷体" w:hAnsi="楷体" w:eastAsia="楷体"/>
          <w:sz w:val="24"/>
          <w:szCs w:val="24"/>
          <w:highlight w:val="none"/>
        </w:rPr>
        <w:t>影响风险承受能力的因素发生变化，本人将及时完成风险承受能力的重新评估。</w:t>
      </w:r>
    </w:p>
    <w:p>
      <w:pPr>
        <w:ind w:firstLine="480" w:firstLineChars="200"/>
        <w:rPr>
          <w:rFonts w:ascii="楷体" w:hAnsi="楷体" w:eastAsia="楷体"/>
          <w:b/>
          <w:sz w:val="24"/>
          <w:szCs w:val="24"/>
          <w:highlight w:val="none"/>
        </w:rPr>
      </w:pPr>
      <w:r>
        <w:rPr>
          <w:rFonts w:hint="eastAsia" w:ascii="楷体" w:hAnsi="楷体" w:eastAsia="楷体"/>
          <w:sz w:val="24"/>
          <w:szCs w:val="24"/>
          <w:highlight w:val="none"/>
        </w:rPr>
        <w:t>须</w:t>
      </w:r>
      <w:r>
        <w:rPr>
          <w:rFonts w:hint="eastAsia" w:ascii="楷体" w:hAnsi="楷体" w:eastAsia="楷体"/>
          <w:b/>
          <w:sz w:val="24"/>
          <w:szCs w:val="24"/>
          <w:highlight w:val="none"/>
          <w:u w:val="single"/>
        </w:rPr>
        <w:t>投资者亲笔抄录</w:t>
      </w:r>
      <w:r>
        <w:rPr>
          <w:rFonts w:hint="eastAsia" w:ascii="楷体" w:hAnsi="楷体" w:eastAsia="楷体"/>
          <w:sz w:val="24"/>
          <w:szCs w:val="24"/>
          <w:highlight w:val="none"/>
        </w:rPr>
        <w:t>以下内容：</w:t>
      </w:r>
      <w:r>
        <w:rPr>
          <w:rFonts w:hint="eastAsia" w:ascii="楷体" w:hAnsi="楷体" w:eastAsia="楷体"/>
          <w:b/>
          <w:sz w:val="24"/>
          <w:szCs w:val="24"/>
          <w:highlight w:val="none"/>
        </w:rPr>
        <w:t>“</w:t>
      </w:r>
      <w:r>
        <w:rPr>
          <w:rFonts w:hint="eastAsia" w:ascii="楷体" w:hAnsi="楷体" w:eastAsia="楷体"/>
          <w:b/>
          <w:sz w:val="24"/>
          <w:szCs w:val="24"/>
          <w:highlight w:val="none"/>
          <w:u w:val="single"/>
        </w:rPr>
        <w:t>本人已经阅读风险揭示，愿意承担投资风险</w:t>
      </w:r>
      <w:r>
        <w:rPr>
          <w:rFonts w:hint="eastAsia" w:ascii="楷体" w:hAnsi="楷体" w:eastAsia="楷体"/>
          <w:b/>
          <w:sz w:val="24"/>
          <w:szCs w:val="24"/>
          <w:highlight w:val="none"/>
        </w:rPr>
        <w:t>”</w:t>
      </w:r>
    </w:p>
    <w:p>
      <w:pPr>
        <w:rPr>
          <w:rFonts w:ascii="楷体" w:hAnsi="楷体" w:eastAsia="楷体"/>
          <w:sz w:val="24"/>
          <w:szCs w:val="24"/>
          <w:highlight w:val="none"/>
          <w:u w:val="single"/>
        </w:rPr>
      </w:pPr>
    </w:p>
    <w:p>
      <w:pPr>
        <w:rPr>
          <w:rFonts w:ascii="楷体" w:hAnsi="楷体" w:eastAsia="楷体"/>
          <w:sz w:val="24"/>
          <w:szCs w:val="24"/>
          <w:highlight w:val="none"/>
          <w:u w:val="single"/>
        </w:rPr>
      </w:pPr>
      <w:r>
        <w:rPr>
          <w:rFonts w:hint="eastAsia" w:ascii="楷体" w:hAnsi="楷体" w:eastAsia="楷体"/>
          <w:sz w:val="24"/>
          <w:szCs w:val="24"/>
          <w:highlight w:val="none"/>
          <w:u w:val="single"/>
        </w:rPr>
        <w:t xml:space="preserve">                                                                         </w:t>
      </w:r>
    </w:p>
    <w:p>
      <w:pPr>
        <w:rPr>
          <w:rFonts w:ascii="楷体" w:hAnsi="楷体" w:eastAsia="楷体"/>
          <w:sz w:val="24"/>
          <w:szCs w:val="24"/>
          <w:highlight w:val="none"/>
        </w:rPr>
      </w:pPr>
      <w:r>
        <w:rPr>
          <w:rFonts w:hint="eastAsia" w:ascii="楷体" w:hAnsi="楷体" w:eastAsia="楷体"/>
          <w:sz w:val="24"/>
          <w:szCs w:val="24"/>
          <w:highlight w:val="none"/>
        </w:rPr>
        <w:t>个人投资者签字：</w:t>
      </w:r>
    </w:p>
    <w:p>
      <w:pPr>
        <w:ind w:firstLine="480" w:firstLineChars="200"/>
        <w:jc w:val="right"/>
        <w:rPr>
          <w:rFonts w:ascii="楷体" w:hAnsi="楷体" w:eastAsia="楷体"/>
          <w:sz w:val="24"/>
          <w:szCs w:val="24"/>
          <w:highlight w:val="none"/>
        </w:rPr>
      </w:pPr>
      <w:r>
        <w:rPr>
          <w:rFonts w:hint="eastAsia" w:ascii="楷体" w:hAnsi="楷体" w:eastAsia="楷体"/>
          <w:sz w:val="24"/>
          <w:szCs w:val="24"/>
          <w:highlight w:val="none"/>
        </w:rPr>
        <w:t>年   月   日</w:t>
      </w:r>
    </w:p>
    <w:p>
      <w:pPr>
        <w:numPr>
          <w:ilvl w:val="0"/>
          <w:numId w:val="6"/>
        </w:numPr>
        <w:tabs>
          <w:tab w:val="left" w:pos="1134"/>
        </w:tabs>
        <w:ind w:firstLine="560" w:firstLineChars="200"/>
        <w:outlineLvl w:val="0"/>
        <w:rPr>
          <w:rFonts w:ascii="楷体" w:hAnsi="楷体" w:eastAsia="楷体"/>
          <w:sz w:val="28"/>
          <w:szCs w:val="28"/>
          <w:highlight w:val="none"/>
        </w:rPr>
      </w:pPr>
      <w:r>
        <w:rPr>
          <w:rFonts w:hint="eastAsia" w:ascii="楷体" w:hAnsi="楷体" w:eastAsia="楷体"/>
          <w:sz w:val="28"/>
          <w:szCs w:val="28"/>
          <w:highlight w:val="none"/>
        </w:rPr>
        <w:t>机构投资者确认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声明：投资决策系由本</w:t>
      </w:r>
      <w:r>
        <w:rPr>
          <w:rFonts w:hint="eastAsia" w:ascii="楷体" w:hAnsi="楷体" w:eastAsia="楷体"/>
          <w:sz w:val="24"/>
          <w:szCs w:val="24"/>
          <w:highlight w:val="none"/>
        </w:rPr>
        <w:t>机构</w:t>
      </w:r>
      <w:r>
        <w:rPr>
          <w:rFonts w:ascii="楷体" w:hAnsi="楷体" w:eastAsia="楷体"/>
          <w:sz w:val="24"/>
          <w:szCs w:val="24"/>
          <w:highlight w:val="none"/>
        </w:rPr>
        <w:t>独立、自主、谨慎做出，本</w:t>
      </w:r>
      <w:r>
        <w:rPr>
          <w:rFonts w:hint="eastAsia" w:ascii="楷体" w:hAnsi="楷体" w:eastAsia="楷体"/>
          <w:sz w:val="24"/>
          <w:szCs w:val="24"/>
          <w:highlight w:val="none"/>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highlight w:val="none"/>
        </w:rPr>
        <w:t>，充分认识该理财产品的特征、风险和投资者相关权利义务条款，完全理解并自愿接受</w:t>
      </w:r>
      <w:r>
        <w:rPr>
          <w:rFonts w:hint="eastAsia" w:ascii="楷体" w:hAnsi="楷体" w:eastAsia="楷体"/>
          <w:sz w:val="24"/>
          <w:szCs w:val="24"/>
          <w:highlight w:val="none"/>
        </w:rPr>
        <w:t>。</w:t>
      </w:r>
      <w:r>
        <w:rPr>
          <w:rFonts w:hint="eastAsia" w:ascii="楷体" w:hAnsi="楷体" w:eastAsia="楷体"/>
          <w:b/>
          <w:bCs/>
          <w:sz w:val="24"/>
          <w:szCs w:val="24"/>
          <w:highlight w:val="none"/>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highlight w:val="none"/>
        </w:rPr>
      </w:pPr>
    </w:p>
    <w:p>
      <w:pPr>
        <w:rPr>
          <w:rFonts w:ascii="楷体" w:hAnsi="楷体" w:eastAsia="楷体"/>
          <w:sz w:val="24"/>
          <w:szCs w:val="24"/>
          <w:highlight w:val="none"/>
        </w:rPr>
      </w:pPr>
    </w:p>
    <w:p>
      <w:pPr>
        <w:rPr>
          <w:rFonts w:ascii="楷体" w:hAnsi="楷体" w:eastAsia="楷体"/>
          <w:sz w:val="24"/>
          <w:szCs w:val="24"/>
          <w:highlight w:val="none"/>
        </w:rPr>
      </w:pPr>
      <w:r>
        <w:rPr>
          <w:rFonts w:hint="eastAsia" w:ascii="楷体" w:hAnsi="楷体" w:eastAsia="楷体"/>
          <w:sz w:val="24"/>
          <w:szCs w:val="24"/>
          <w:highlight w:val="none"/>
        </w:rPr>
        <w:t>机构投资者（盖章）：</w:t>
      </w:r>
    </w:p>
    <w:p>
      <w:pPr>
        <w:rPr>
          <w:rFonts w:ascii="楷体" w:hAnsi="楷体" w:eastAsia="楷体"/>
          <w:sz w:val="24"/>
          <w:szCs w:val="24"/>
          <w:highlight w:val="none"/>
        </w:rPr>
      </w:pPr>
    </w:p>
    <w:p>
      <w:pPr>
        <w:rPr>
          <w:rFonts w:ascii="楷体" w:hAnsi="楷体" w:eastAsia="楷体"/>
          <w:highlight w:val="none"/>
        </w:rPr>
      </w:pPr>
      <w:r>
        <w:rPr>
          <w:rFonts w:ascii="楷体" w:hAnsi="楷体" w:eastAsia="楷体"/>
          <w:sz w:val="24"/>
          <w:szCs w:val="24"/>
          <w:highlight w:val="none"/>
        </w:rPr>
        <w:t>机构投资者法定代表人或授权代表（签字或盖章）</w:t>
      </w:r>
    </w:p>
    <w:p>
      <w:pPr>
        <w:rPr>
          <w:rFonts w:ascii="楷体" w:hAnsi="楷体" w:eastAsia="楷体"/>
          <w:highlight w:val="none"/>
        </w:rPr>
      </w:pPr>
    </w:p>
    <w:p>
      <w:pPr>
        <w:jc w:val="right"/>
      </w:pPr>
      <w:r>
        <w:rPr>
          <w:rFonts w:hint="eastAsia" w:ascii="楷体" w:hAnsi="楷体" w:eastAsia="楷体"/>
          <w:sz w:val="24"/>
          <w:szCs w:val="24"/>
          <w:highlight w:val="none"/>
        </w:rPr>
        <w:t>年   月   日</w:t>
      </w:r>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41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4098"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409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10A72"/>
    <w:rsid w:val="0031143A"/>
    <w:rsid w:val="00311C18"/>
    <w:rsid w:val="0031298C"/>
    <w:rsid w:val="00313619"/>
    <w:rsid w:val="00313D52"/>
    <w:rsid w:val="00314235"/>
    <w:rsid w:val="0032098B"/>
    <w:rsid w:val="003222FC"/>
    <w:rsid w:val="003227E7"/>
    <w:rsid w:val="00325D85"/>
    <w:rsid w:val="0032607C"/>
    <w:rsid w:val="00326E7B"/>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2CF4"/>
    <w:rsid w:val="00604135"/>
    <w:rsid w:val="006058CB"/>
    <w:rsid w:val="00605AFB"/>
    <w:rsid w:val="0060733C"/>
    <w:rsid w:val="00607C36"/>
    <w:rsid w:val="0061140B"/>
    <w:rsid w:val="00613453"/>
    <w:rsid w:val="0061470B"/>
    <w:rsid w:val="00614908"/>
    <w:rsid w:val="00615029"/>
    <w:rsid w:val="00616593"/>
    <w:rsid w:val="00616AE1"/>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51A"/>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4D48"/>
    <w:rsid w:val="00EC6339"/>
    <w:rsid w:val="00EC744B"/>
    <w:rsid w:val="00EC778D"/>
    <w:rsid w:val="00EC7B5A"/>
    <w:rsid w:val="00ED1573"/>
    <w:rsid w:val="00ED1966"/>
    <w:rsid w:val="00ED419B"/>
    <w:rsid w:val="00ED4DA5"/>
    <w:rsid w:val="00ED5AAA"/>
    <w:rsid w:val="00ED5AF3"/>
    <w:rsid w:val="00ED6E55"/>
    <w:rsid w:val="00ED71E9"/>
    <w:rsid w:val="00ED7419"/>
    <w:rsid w:val="00ED7443"/>
    <w:rsid w:val="00EE050F"/>
    <w:rsid w:val="00EE081A"/>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400D"/>
    <w:rsid w:val="00FC58AA"/>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6367A9"/>
    <w:rsid w:val="028669BE"/>
    <w:rsid w:val="028E6154"/>
    <w:rsid w:val="02FF0E39"/>
    <w:rsid w:val="03040CCD"/>
    <w:rsid w:val="0337506D"/>
    <w:rsid w:val="03404E17"/>
    <w:rsid w:val="036C4C82"/>
    <w:rsid w:val="03C0185E"/>
    <w:rsid w:val="046B703C"/>
    <w:rsid w:val="04BD2C91"/>
    <w:rsid w:val="05091BBF"/>
    <w:rsid w:val="05C24554"/>
    <w:rsid w:val="061239DA"/>
    <w:rsid w:val="062671DC"/>
    <w:rsid w:val="065674E8"/>
    <w:rsid w:val="06F85D5A"/>
    <w:rsid w:val="071378F5"/>
    <w:rsid w:val="07731EDA"/>
    <w:rsid w:val="090B4468"/>
    <w:rsid w:val="09536CE2"/>
    <w:rsid w:val="097662B8"/>
    <w:rsid w:val="09EC4E9A"/>
    <w:rsid w:val="0A2B3E51"/>
    <w:rsid w:val="0A93603C"/>
    <w:rsid w:val="0A97493E"/>
    <w:rsid w:val="0AB715F7"/>
    <w:rsid w:val="0B3F1AA4"/>
    <w:rsid w:val="0BC11263"/>
    <w:rsid w:val="0BD96283"/>
    <w:rsid w:val="0C510802"/>
    <w:rsid w:val="0D817E81"/>
    <w:rsid w:val="0D9C032D"/>
    <w:rsid w:val="0DAF4280"/>
    <w:rsid w:val="0E076AE9"/>
    <w:rsid w:val="0E421E9F"/>
    <w:rsid w:val="0EBD3DC2"/>
    <w:rsid w:val="0EF75F06"/>
    <w:rsid w:val="0FB924B8"/>
    <w:rsid w:val="10B81047"/>
    <w:rsid w:val="10E55ACF"/>
    <w:rsid w:val="113611C5"/>
    <w:rsid w:val="11624886"/>
    <w:rsid w:val="11663B15"/>
    <w:rsid w:val="12176AF0"/>
    <w:rsid w:val="12D90C47"/>
    <w:rsid w:val="13043ED4"/>
    <w:rsid w:val="132C1521"/>
    <w:rsid w:val="13BA3578"/>
    <w:rsid w:val="13F21EF0"/>
    <w:rsid w:val="1403461B"/>
    <w:rsid w:val="143D6DFB"/>
    <w:rsid w:val="14D230EC"/>
    <w:rsid w:val="154272B5"/>
    <w:rsid w:val="159A5456"/>
    <w:rsid w:val="15CF287D"/>
    <w:rsid w:val="15EE3AFE"/>
    <w:rsid w:val="169C4E56"/>
    <w:rsid w:val="174258ED"/>
    <w:rsid w:val="17E21328"/>
    <w:rsid w:val="18FE1D0C"/>
    <w:rsid w:val="190469FF"/>
    <w:rsid w:val="1A0B2B00"/>
    <w:rsid w:val="1C7E1E02"/>
    <w:rsid w:val="1CA848A1"/>
    <w:rsid w:val="1CE005C0"/>
    <w:rsid w:val="1CE354ED"/>
    <w:rsid w:val="1CFB75A6"/>
    <w:rsid w:val="1D1C03D7"/>
    <w:rsid w:val="1D4D3358"/>
    <w:rsid w:val="1D621892"/>
    <w:rsid w:val="1D7579CC"/>
    <w:rsid w:val="1D9317B9"/>
    <w:rsid w:val="1D9E6CC4"/>
    <w:rsid w:val="1DD151B5"/>
    <w:rsid w:val="1DE04BB8"/>
    <w:rsid w:val="1E757AD8"/>
    <w:rsid w:val="1F7E179E"/>
    <w:rsid w:val="1F964275"/>
    <w:rsid w:val="200377F1"/>
    <w:rsid w:val="20135EB8"/>
    <w:rsid w:val="213D2A55"/>
    <w:rsid w:val="21CC533A"/>
    <w:rsid w:val="22961598"/>
    <w:rsid w:val="22E22C59"/>
    <w:rsid w:val="24B578FA"/>
    <w:rsid w:val="251C6852"/>
    <w:rsid w:val="25A4761E"/>
    <w:rsid w:val="25BF622B"/>
    <w:rsid w:val="25C21B83"/>
    <w:rsid w:val="26B54B63"/>
    <w:rsid w:val="271F7879"/>
    <w:rsid w:val="27341289"/>
    <w:rsid w:val="27393819"/>
    <w:rsid w:val="2739606C"/>
    <w:rsid w:val="273D3222"/>
    <w:rsid w:val="280744DD"/>
    <w:rsid w:val="286C493A"/>
    <w:rsid w:val="28A0271E"/>
    <w:rsid w:val="29547BC4"/>
    <w:rsid w:val="296733FA"/>
    <w:rsid w:val="2A75021C"/>
    <w:rsid w:val="2AE45309"/>
    <w:rsid w:val="2B4E79D6"/>
    <w:rsid w:val="2C920118"/>
    <w:rsid w:val="2CCC7A2F"/>
    <w:rsid w:val="2D21013D"/>
    <w:rsid w:val="2D4E158F"/>
    <w:rsid w:val="2E8D4481"/>
    <w:rsid w:val="2F1C72FC"/>
    <w:rsid w:val="2FAA5F34"/>
    <w:rsid w:val="2FC4512F"/>
    <w:rsid w:val="305F56A6"/>
    <w:rsid w:val="30906EF6"/>
    <w:rsid w:val="30B63EEC"/>
    <w:rsid w:val="31E43451"/>
    <w:rsid w:val="31E85DFB"/>
    <w:rsid w:val="326F27DC"/>
    <w:rsid w:val="327A6A63"/>
    <w:rsid w:val="33CE43C5"/>
    <w:rsid w:val="33E2761E"/>
    <w:rsid w:val="33ED0162"/>
    <w:rsid w:val="35163620"/>
    <w:rsid w:val="36292D10"/>
    <w:rsid w:val="367C1606"/>
    <w:rsid w:val="36B56003"/>
    <w:rsid w:val="36C52477"/>
    <w:rsid w:val="36E35581"/>
    <w:rsid w:val="37482116"/>
    <w:rsid w:val="37791B81"/>
    <w:rsid w:val="37BD3B90"/>
    <w:rsid w:val="37D231F3"/>
    <w:rsid w:val="38124733"/>
    <w:rsid w:val="38460B75"/>
    <w:rsid w:val="38C04A2B"/>
    <w:rsid w:val="39B8452F"/>
    <w:rsid w:val="39C51092"/>
    <w:rsid w:val="39F6604A"/>
    <w:rsid w:val="3AB47011"/>
    <w:rsid w:val="3AC93C11"/>
    <w:rsid w:val="3AFA4DFF"/>
    <w:rsid w:val="3B4433D7"/>
    <w:rsid w:val="3CE10208"/>
    <w:rsid w:val="3CF727B5"/>
    <w:rsid w:val="3D5866E5"/>
    <w:rsid w:val="3D5F768E"/>
    <w:rsid w:val="3D8B00CB"/>
    <w:rsid w:val="3E0B1434"/>
    <w:rsid w:val="3F830750"/>
    <w:rsid w:val="3FC741B0"/>
    <w:rsid w:val="3FEA00DC"/>
    <w:rsid w:val="40E8556B"/>
    <w:rsid w:val="41815D2F"/>
    <w:rsid w:val="419747DD"/>
    <w:rsid w:val="41F0685E"/>
    <w:rsid w:val="4254643D"/>
    <w:rsid w:val="42AC04D0"/>
    <w:rsid w:val="42CF7B25"/>
    <w:rsid w:val="42D00296"/>
    <w:rsid w:val="42FB7EAC"/>
    <w:rsid w:val="438A1CC5"/>
    <w:rsid w:val="439422FD"/>
    <w:rsid w:val="43A55CA5"/>
    <w:rsid w:val="43C425E1"/>
    <w:rsid w:val="4427562F"/>
    <w:rsid w:val="445A306B"/>
    <w:rsid w:val="44931256"/>
    <w:rsid w:val="45284074"/>
    <w:rsid w:val="45792FB7"/>
    <w:rsid w:val="457B724C"/>
    <w:rsid w:val="462A10E3"/>
    <w:rsid w:val="46CD39B0"/>
    <w:rsid w:val="46EE3A7C"/>
    <w:rsid w:val="477A1D28"/>
    <w:rsid w:val="47AE02B5"/>
    <w:rsid w:val="47BF466E"/>
    <w:rsid w:val="47D472D7"/>
    <w:rsid w:val="483A7F05"/>
    <w:rsid w:val="48912E94"/>
    <w:rsid w:val="49E44D8A"/>
    <w:rsid w:val="49EC5FF4"/>
    <w:rsid w:val="4A4051EF"/>
    <w:rsid w:val="4AD8290A"/>
    <w:rsid w:val="4AF24623"/>
    <w:rsid w:val="4B0D79C2"/>
    <w:rsid w:val="4B8078D6"/>
    <w:rsid w:val="4BEF5A8E"/>
    <w:rsid w:val="4C245667"/>
    <w:rsid w:val="4C421A8A"/>
    <w:rsid w:val="4D973ED3"/>
    <w:rsid w:val="4DA43BD6"/>
    <w:rsid w:val="4DC63991"/>
    <w:rsid w:val="4DC73B97"/>
    <w:rsid w:val="4E5827B1"/>
    <w:rsid w:val="4E76155D"/>
    <w:rsid w:val="4E833A0E"/>
    <w:rsid w:val="4F2C3E65"/>
    <w:rsid w:val="4FD739FC"/>
    <w:rsid w:val="50207E94"/>
    <w:rsid w:val="527B3ECE"/>
    <w:rsid w:val="52E30177"/>
    <w:rsid w:val="53417F4F"/>
    <w:rsid w:val="536E3862"/>
    <w:rsid w:val="550C0DEA"/>
    <w:rsid w:val="555B0AE3"/>
    <w:rsid w:val="55B151A9"/>
    <w:rsid w:val="55BF0E11"/>
    <w:rsid w:val="56136CDA"/>
    <w:rsid w:val="56182B77"/>
    <w:rsid w:val="56D67B51"/>
    <w:rsid w:val="56FA7272"/>
    <w:rsid w:val="579F67E1"/>
    <w:rsid w:val="58981098"/>
    <w:rsid w:val="5901277B"/>
    <w:rsid w:val="592525C4"/>
    <w:rsid w:val="59321CCB"/>
    <w:rsid w:val="59753409"/>
    <w:rsid w:val="59D455F2"/>
    <w:rsid w:val="5AC45BA6"/>
    <w:rsid w:val="5B04480A"/>
    <w:rsid w:val="5B263A9C"/>
    <w:rsid w:val="5B397FB7"/>
    <w:rsid w:val="5B490CC0"/>
    <w:rsid w:val="5B7E3700"/>
    <w:rsid w:val="5C161418"/>
    <w:rsid w:val="5C3E421A"/>
    <w:rsid w:val="5C62269E"/>
    <w:rsid w:val="5C8D470C"/>
    <w:rsid w:val="5C9D39DA"/>
    <w:rsid w:val="5CB669E4"/>
    <w:rsid w:val="5CD25567"/>
    <w:rsid w:val="5D090ACA"/>
    <w:rsid w:val="5D433826"/>
    <w:rsid w:val="5D5E5F6E"/>
    <w:rsid w:val="5D832EEF"/>
    <w:rsid w:val="5E1A7F73"/>
    <w:rsid w:val="5E390E1F"/>
    <w:rsid w:val="5E4635CA"/>
    <w:rsid w:val="5E584923"/>
    <w:rsid w:val="5E6621D5"/>
    <w:rsid w:val="5E8F6FF0"/>
    <w:rsid w:val="5EA12B1C"/>
    <w:rsid w:val="5EBF1F9E"/>
    <w:rsid w:val="5F3B1BE0"/>
    <w:rsid w:val="5F842392"/>
    <w:rsid w:val="5F991715"/>
    <w:rsid w:val="5FCF11E9"/>
    <w:rsid w:val="5FE4315F"/>
    <w:rsid w:val="600227C8"/>
    <w:rsid w:val="602B2D4A"/>
    <w:rsid w:val="607523D1"/>
    <w:rsid w:val="60F82C89"/>
    <w:rsid w:val="60FE2C3F"/>
    <w:rsid w:val="615146FA"/>
    <w:rsid w:val="62070FA1"/>
    <w:rsid w:val="62093885"/>
    <w:rsid w:val="621217BE"/>
    <w:rsid w:val="623B41C7"/>
    <w:rsid w:val="62526D3D"/>
    <w:rsid w:val="62CD2B33"/>
    <w:rsid w:val="63870B4C"/>
    <w:rsid w:val="63DB479D"/>
    <w:rsid w:val="64620820"/>
    <w:rsid w:val="64681E85"/>
    <w:rsid w:val="65991FF1"/>
    <w:rsid w:val="65EC7B94"/>
    <w:rsid w:val="6619624C"/>
    <w:rsid w:val="66342E08"/>
    <w:rsid w:val="66497A6B"/>
    <w:rsid w:val="666B0070"/>
    <w:rsid w:val="67A32D76"/>
    <w:rsid w:val="67AA3BE1"/>
    <w:rsid w:val="67BF6715"/>
    <w:rsid w:val="67E56BF0"/>
    <w:rsid w:val="68957C01"/>
    <w:rsid w:val="68A01520"/>
    <w:rsid w:val="68C6622F"/>
    <w:rsid w:val="69370731"/>
    <w:rsid w:val="69C04ABB"/>
    <w:rsid w:val="69E17CD8"/>
    <w:rsid w:val="69EB7AC5"/>
    <w:rsid w:val="6A2630A6"/>
    <w:rsid w:val="6ACE4D37"/>
    <w:rsid w:val="6AD94EA8"/>
    <w:rsid w:val="6C1300A2"/>
    <w:rsid w:val="6C2D651B"/>
    <w:rsid w:val="6C43610C"/>
    <w:rsid w:val="6C485EB9"/>
    <w:rsid w:val="6CDE057E"/>
    <w:rsid w:val="6E7C4447"/>
    <w:rsid w:val="6EFC3A3C"/>
    <w:rsid w:val="6F03408E"/>
    <w:rsid w:val="6F227649"/>
    <w:rsid w:val="6F461335"/>
    <w:rsid w:val="70C7777F"/>
    <w:rsid w:val="72476A02"/>
    <w:rsid w:val="72620D8B"/>
    <w:rsid w:val="72AA2887"/>
    <w:rsid w:val="7396760B"/>
    <w:rsid w:val="73BC0182"/>
    <w:rsid w:val="73DC2F75"/>
    <w:rsid w:val="74966354"/>
    <w:rsid w:val="750263A5"/>
    <w:rsid w:val="752F546D"/>
    <w:rsid w:val="756015F8"/>
    <w:rsid w:val="75A67A21"/>
    <w:rsid w:val="75E848BC"/>
    <w:rsid w:val="761F029E"/>
    <w:rsid w:val="762F4253"/>
    <w:rsid w:val="76355280"/>
    <w:rsid w:val="7655794F"/>
    <w:rsid w:val="7753681B"/>
    <w:rsid w:val="775F5B45"/>
    <w:rsid w:val="77667C2A"/>
    <w:rsid w:val="779C4B53"/>
    <w:rsid w:val="77B15C8C"/>
    <w:rsid w:val="77B91A0C"/>
    <w:rsid w:val="78431FAF"/>
    <w:rsid w:val="78823025"/>
    <w:rsid w:val="79153558"/>
    <w:rsid w:val="79421110"/>
    <w:rsid w:val="7A6E4950"/>
    <w:rsid w:val="7B12208E"/>
    <w:rsid w:val="7B2C1F5B"/>
    <w:rsid w:val="7B5A7743"/>
    <w:rsid w:val="7C27553B"/>
    <w:rsid w:val="7C391D27"/>
    <w:rsid w:val="7D312820"/>
    <w:rsid w:val="7D85733D"/>
    <w:rsid w:val="7DA17EF3"/>
    <w:rsid w:val="7DA85D23"/>
    <w:rsid w:val="7FCC438E"/>
    <w:rsid w:val="7FCE147D"/>
    <w:rsid w:val="7FEB7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5C84CD-8877-47DD-8E2C-A441A4C53E4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6234</Words>
  <Characters>35537</Characters>
  <Lines>296</Lines>
  <Paragraphs>83</Paragraphs>
  <TotalTime>0</TotalTime>
  <ScaleCrop>false</ScaleCrop>
  <LinksUpToDate>false</LinksUpToDate>
  <CharactersWithSpaces>41688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2025-02-07T03:02:08Z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uhlLfBbIhUoj4AdobLM8Ne/7W49faPGPDtBLwo9oS1KCLZ27geBdflra73HaFJ+qcaA7wyfSWypel2OD2zA5bRQX3Ijbvw/+0nHWzUiRaXtyi6BrjmwyBnG/N8Jg1LJnNsTjZ9Vcn7/paks9A8uglk2jTrqRlqVPxCcWiHJY6UeYmd5gKcYsMW5cp723ah0sZrZpWD52ERFPnom484AXzSfto9pUlmZ9VD62jRCtHkvn6g5R6upZM7WPhcab2OHUuAzhic//GKWtLYoca1dBZygjABh/w5d1ejbI96ZzuORs8vBceh5wuWqc+5b2g25o+OITS4M/pg6SEMcQGOj9qNbZd3TiZFCb4Gcp8yS4cixsYdUGsgm0RzLHv4No4gr8ZPaU6y7kp7ZbTWi2aO6lqx5Ik8ZNvW7JLidF3l5VTI2QIiK+KJiGSC5hBaODiBE+HyzjAhTdMhO/cEEutmkFqBoXfLqmKjkPfj7yV/S4pmU=</vt:lpwstr>
  </property>
</Properties>
</file>