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ascii="楷体" w:hAnsi="楷体" w:eastAsia="楷体"/>
          <w:highlight w:val="none"/>
        </w:rPr>
      </w:pPr>
      <w:r>
        <w:rPr>
          <w:highlight w:val="none"/>
        </w:rPr>
        <mc:AlternateContent>
          <mc:Choice Requires="wps">
            <w:drawing>
              <wp:anchor distT="45720" distB="45720" distL="114300" distR="114300" simplePos="0" relativeHeight="251663360" behindDoc="0" locked="0" layoutInCell="1" allowOverlap="1">
                <wp:simplePos x="0" y="0"/>
                <wp:positionH relativeFrom="margin">
                  <wp:align>center</wp:align>
                </wp:positionH>
                <wp:positionV relativeFrom="paragraph">
                  <wp:posOffset>419100</wp:posOffset>
                </wp:positionV>
                <wp:extent cx="5756910" cy="2774315"/>
                <wp:effectExtent l="4445" t="4445" r="10795" b="2159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56910" cy="2774315"/>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highlight w:val="none"/>
                                <w:u w:val="single"/>
                              </w:rPr>
                            </w:pPr>
                            <w:r>
                              <w:rPr>
                                <w:rFonts w:hint="eastAsia" w:ascii="楷体" w:hAnsi="楷体" w:eastAsia="楷体"/>
                                <w:b/>
                                <w:highlight w:val="none"/>
                                <w:u w:val="single"/>
                              </w:rPr>
                              <w:t>客户服务热线：95319-</w:t>
                            </w:r>
                            <w:r>
                              <w:rPr>
                                <w:rFonts w:hint="eastAsia" w:ascii="楷体" w:hAnsi="楷体" w:eastAsia="楷体"/>
                                <w:b/>
                                <w:highlight w:val="none"/>
                                <w:u w:val="single"/>
                                <w:lang w:val="en-US" w:eastAsia="zh-CN"/>
                              </w:rPr>
                              <w:t>8-2</w:t>
                            </w:r>
                            <w:r>
                              <w:rPr>
                                <w:rFonts w:hint="eastAsia" w:ascii="楷体" w:hAnsi="楷体" w:eastAsia="楷体"/>
                                <w:b/>
                                <w:highlight w:val="none"/>
                                <w:u w:val="single"/>
                              </w:rPr>
                              <w:t>。</w:t>
                            </w:r>
                          </w:p>
                          <w:p>
                            <w:pPr>
                              <w:widowControl w:val="0"/>
                              <w:numPr>
                                <w:ilvl w:val="0"/>
                                <w:numId w:val="0"/>
                              </w:numPr>
                              <w:jc w:val="left"/>
                              <w:rPr>
                                <w:rFonts w:hint="eastAsia" w:ascii="楷体" w:hAnsi="楷体" w:eastAsia="楷体"/>
                                <w:b/>
                                <w:u w:val="single"/>
                                <w:lang w:eastAsia="zh-CN"/>
                              </w:rPr>
                            </w:pPr>
                            <w:r>
                              <w:rPr>
                                <w:rFonts w:hint="eastAsia" w:ascii="楷体" w:hAnsi="楷体" w:eastAsia="楷体"/>
                              </w:rPr>
                              <w:t>以上为本产品的特别提示，详细内容请仔细阅读理财产品合同</w:t>
                            </w:r>
                            <w:r>
                              <w:rPr>
                                <w:rFonts w:hint="eastAsia" w:ascii="楷体" w:hAnsi="楷体" w:eastAsia="楷体"/>
                                <w:lang w:eastAsia="zh-CN"/>
                              </w:rPr>
                              <w:t>。</w:t>
                            </w:r>
                          </w:p>
                          <w:p>
                            <w:pPr>
                              <w:ind w:left="360" w:right="115" w:rightChars="55"/>
                              <w:rPr>
                                <w:rFonts w:ascii="楷体" w:hAnsi="楷体" w:eastAsia="楷体"/>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top:33pt;height:218.45pt;width:453.3pt;mso-position-horizontal:center;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MCuPO1wAAAAcBAAAPAAAAAAAAAAEA&#10;IAAAACIAAABkcnMvZG93bnJldi54bWxQSwECFAAUAAAACACHTuJAxpm0N0kCAACWBAAADgAAAAAA&#10;AAABACAAAAAmAQAAZHJzL2Uyb0RvYy54bWxQSwUGAAAAAAYABgBZAQAA4QU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highlight w:val="none"/>
                          <w:u w:val="single"/>
                        </w:rPr>
                      </w:pPr>
                      <w:r>
                        <w:rPr>
                          <w:rFonts w:hint="eastAsia" w:ascii="楷体" w:hAnsi="楷体" w:eastAsia="楷体"/>
                          <w:b/>
                          <w:highlight w:val="none"/>
                          <w:u w:val="single"/>
                        </w:rPr>
                        <w:t>客户服务热线：95319-</w:t>
                      </w:r>
                      <w:r>
                        <w:rPr>
                          <w:rFonts w:hint="eastAsia" w:ascii="楷体" w:hAnsi="楷体" w:eastAsia="楷体"/>
                          <w:b/>
                          <w:highlight w:val="none"/>
                          <w:u w:val="single"/>
                          <w:lang w:val="en-US" w:eastAsia="zh-CN"/>
                        </w:rPr>
                        <w:t>8-2</w:t>
                      </w:r>
                      <w:r>
                        <w:rPr>
                          <w:rFonts w:hint="eastAsia" w:ascii="楷体" w:hAnsi="楷体" w:eastAsia="楷体"/>
                          <w:b/>
                          <w:highlight w:val="none"/>
                          <w:u w:val="single"/>
                        </w:rPr>
                        <w:t>。</w:t>
                      </w:r>
                    </w:p>
                    <w:p>
                      <w:pPr>
                        <w:widowControl w:val="0"/>
                        <w:numPr>
                          <w:ilvl w:val="0"/>
                          <w:numId w:val="0"/>
                        </w:numPr>
                        <w:jc w:val="left"/>
                        <w:rPr>
                          <w:rFonts w:hint="eastAsia" w:ascii="楷体" w:hAnsi="楷体" w:eastAsia="楷体"/>
                          <w:b/>
                          <w:u w:val="single"/>
                          <w:lang w:eastAsia="zh-CN"/>
                        </w:rPr>
                      </w:pPr>
                      <w:r>
                        <w:rPr>
                          <w:rFonts w:hint="eastAsia" w:ascii="楷体" w:hAnsi="楷体" w:eastAsia="楷体"/>
                        </w:rPr>
                        <w:t>以上为本产品的特别提示，详细内容请仔细阅读理财产品合同</w:t>
                      </w:r>
                      <w:r>
                        <w:rPr>
                          <w:rFonts w:hint="eastAsia" w:ascii="楷体" w:hAnsi="楷体" w:eastAsia="楷体"/>
                          <w:lang w:eastAsia="zh-CN"/>
                        </w:rPr>
                        <w:t>。</w:t>
                      </w:r>
                    </w:p>
                    <w:p>
                      <w:pPr>
                        <w:ind w:left="360" w:right="115" w:rightChars="55"/>
                        <w:rPr>
                          <w:rFonts w:ascii="楷体" w:hAnsi="楷体" w:eastAsia="楷体"/>
                        </w:rPr>
                      </w:pPr>
                    </w:p>
                  </w:txbxContent>
                </v:textbox>
                <w10:wrap type="square"/>
              </v:shape>
            </w:pict>
          </mc:Fallback>
        </mc:AlternateContent>
      </w:r>
    </w:p>
    <w:p>
      <w:pPr>
        <w:pStyle w:val="12"/>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w:t>
      </w:r>
      <w:r>
        <w:rPr>
          <w:rFonts w:hint="eastAsia" w:ascii="楷体" w:hAnsi="楷体" w:eastAsia="楷体"/>
          <w:b/>
          <w:sz w:val="36"/>
          <w:szCs w:val="36"/>
          <w:highlight w:val="none"/>
          <w:lang w:eastAsia="zh-CN"/>
        </w:rPr>
        <w:t>现金</w:t>
      </w:r>
      <w:r>
        <w:rPr>
          <w:rFonts w:hint="eastAsia" w:ascii="楷体" w:hAnsi="楷体" w:eastAsia="楷体"/>
          <w:b/>
          <w:sz w:val="36"/>
          <w:szCs w:val="36"/>
          <w:highlight w:val="none"/>
        </w:rPr>
        <w:t>1号”</w:t>
      </w:r>
    </w:p>
    <w:p>
      <w:pPr>
        <w:pStyle w:val="12"/>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理财产品合同</w:t>
      </w:r>
    </w:p>
    <w:p>
      <w:pPr>
        <w:pStyle w:val="12"/>
        <w:spacing w:before="0" w:beforeAutospacing="0" w:after="0" w:afterAutospacing="0" w:line="360" w:lineRule="auto"/>
        <w:jc w:val="center"/>
        <w:outlineLvl w:val="1"/>
        <w:rPr>
          <w:rFonts w:ascii="楷体" w:hAnsi="楷体" w:eastAsia="楷体"/>
          <w:b/>
          <w:highlight w:val="none"/>
        </w:rPr>
      </w:pPr>
      <w:r>
        <w:rPr>
          <w:rFonts w:hint="eastAsia" w:ascii="楷体" w:hAnsi="楷体" w:eastAsia="楷体"/>
          <w:b/>
          <w:sz w:val="32"/>
          <w:szCs w:val="32"/>
          <w:highlight w:val="none"/>
        </w:rPr>
        <w:t>理财非存款、产品有风险、投资须谨慎</w:t>
      </w:r>
    </w:p>
    <w:p>
      <w:pPr>
        <w:pStyle w:val="12"/>
        <w:spacing w:before="0" w:beforeAutospacing="0" w:after="0" w:afterAutospacing="0" w:line="360" w:lineRule="auto"/>
        <w:jc w:val="center"/>
        <w:rPr>
          <w:rFonts w:ascii="楷体" w:hAnsi="楷体" w:eastAsia="楷体"/>
          <w:b/>
          <w:highlight w:val="none"/>
        </w:rPr>
      </w:pPr>
      <w:r>
        <w:rPr>
          <w:rFonts w:hint="eastAsia" w:ascii="楷体" w:hAnsi="楷体" w:eastAsia="楷体"/>
          <w:b/>
          <w:highlight w:val="none"/>
        </w:rPr>
        <w:t>（202</w:t>
      </w:r>
      <w:r>
        <w:rPr>
          <w:rFonts w:hint="eastAsia" w:ascii="楷体" w:hAnsi="楷体" w:eastAsia="楷体"/>
          <w:b/>
          <w:highlight w:val="none"/>
          <w:lang w:val="en-US" w:eastAsia="zh-CN"/>
        </w:rPr>
        <w:t>5</w:t>
      </w:r>
      <w:r>
        <w:rPr>
          <w:rFonts w:hint="eastAsia" w:ascii="楷体" w:hAnsi="楷体" w:eastAsia="楷体"/>
          <w:b/>
          <w:highlight w:val="none"/>
        </w:rPr>
        <w:t>年</w:t>
      </w:r>
      <w:r>
        <w:rPr>
          <w:rFonts w:hint="eastAsia" w:ascii="楷体" w:hAnsi="楷体" w:eastAsia="楷体"/>
          <w:b/>
          <w:highlight w:val="none"/>
          <w:lang w:val="en-US" w:eastAsia="zh-CN"/>
        </w:rPr>
        <w:t>2</w:t>
      </w:r>
      <w:r>
        <w:rPr>
          <w:rFonts w:hint="eastAsia" w:ascii="楷体" w:hAnsi="楷体" w:eastAsia="楷体"/>
          <w:b/>
          <w:highlight w:val="none"/>
        </w:rPr>
        <w:t>月版）</w:t>
      </w:r>
    </w:p>
    <w:p>
      <w:pPr>
        <w:pStyle w:val="12"/>
        <w:spacing w:before="0" w:beforeAutospacing="0" w:after="0" w:afterAutospacing="0" w:line="360" w:lineRule="auto"/>
        <w:rPr>
          <w:rFonts w:ascii="楷体" w:hAnsi="楷体" w:eastAsia="楷体"/>
          <w:b/>
          <w:sz w:val="30"/>
          <w:szCs w:val="30"/>
          <w:highlight w:val="none"/>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w:t>
            </w:r>
            <w:r>
              <w:rPr>
                <w:rFonts w:hint="eastAsia" w:ascii="楷体" w:hAnsi="楷体" w:eastAsia="楷体"/>
                <w:sz w:val="18"/>
                <w:szCs w:val="18"/>
                <w:highlight w:val="none"/>
                <w:lang w:eastAsia="zh-CN"/>
              </w:rPr>
              <w:t>现金</w:t>
            </w:r>
            <w:r>
              <w:rPr>
                <w:rFonts w:hint="eastAsia" w:ascii="楷体" w:hAnsi="楷体" w:eastAsia="楷体"/>
                <w:sz w:val="18"/>
                <w:szCs w:val="18"/>
                <w:highlight w:val="none"/>
              </w:rPr>
              <w:t>1号”理财产品风险揭示书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w:t>
            </w:r>
            <w:r>
              <w:rPr>
                <w:rFonts w:hint="eastAsia" w:ascii="楷体" w:hAnsi="楷体" w:eastAsia="楷体"/>
                <w:sz w:val="18"/>
                <w:szCs w:val="18"/>
                <w:highlight w:val="none"/>
                <w:lang w:eastAsia="zh-CN"/>
              </w:rPr>
              <w:t>现金</w:t>
            </w:r>
            <w:r>
              <w:rPr>
                <w:rFonts w:hint="eastAsia" w:ascii="楷体" w:hAnsi="楷体" w:eastAsia="楷体"/>
                <w:sz w:val="18"/>
                <w:szCs w:val="18"/>
                <w:highlight w:val="none"/>
              </w:rPr>
              <w:t>1号”理财产品说明书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r>
              <w:rPr>
                <w:rStyle w:val="20"/>
                <w:rFonts w:hint="eastAsia" w:ascii="楷体" w:hAnsi="楷体" w:eastAsia="楷体"/>
                <w:sz w:val="18"/>
                <w:szCs w:val="18"/>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r>
              <w:rPr>
                <w:rStyle w:val="20"/>
                <w:rFonts w:ascii="楷体" w:hAnsi="楷体" w:eastAsia="楷体"/>
                <w:sz w:val="18"/>
                <w:szCs w:val="18"/>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p>
        </w:tc>
      </w:tr>
    </w:tbl>
    <w:p>
      <w:pPr>
        <w:pStyle w:val="12"/>
        <w:spacing w:before="0" w:beforeAutospacing="0" w:after="0" w:afterAutospacing="0" w:line="280" w:lineRule="atLeast"/>
        <w:rPr>
          <w:highlight w:val="none"/>
        </w:rPr>
      </w:pPr>
    </w:p>
    <w:p>
      <w:pPr>
        <w:pStyle w:val="12"/>
        <w:spacing w:before="0" w:beforeAutospacing="0" w:after="0" w:afterAutospacing="0" w:line="280" w:lineRule="atLeast"/>
        <w:rPr>
          <w:rFonts w:ascii="楷体" w:hAnsi="楷体" w:eastAsia="楷体"/>
          <w:highlight w:val="none"/>
        </w:rPr>
      </w:pPr>
      <w:r>
        <w:rPr>
          <w:rStyle w:val="17"/>
          <w:rFonts w:hint="eastAsia" w:ascii="楷体" w:hAnsi="楷体" w:eastAsia="楷体"/>
          <w:bCs w:val="0"/>
          <w:highlight w:val="none"/>
        </w:rPr>
        <w:t>郑重提示：</w:t>
      </w:r>
    </w:p>
    <w:p>
      <w:pPr>
        <w:pStyle w:val="12"/>
        <w:spacing w:before="0" w:beforeAutospacing="0" w:after="0" w:afterAutospacing="0" w:line="280" w:lineRule="atLeast"/>
        <w:rPr>
          <w:rFonts w:ascii="楷体" w:hAnsi="楷体" w:eastAsia="楷体"/>
          <w:highlight w:val="none"/>
        </w:rPr>
      </w:pPr>
    </w:p>
    <w:p>
      <w:pPr>
        <w:pStyle w:val="12"/>
        <w:spacing w:before="0" w:beforeAutospacing="0" w:after="0" w:afterAutospacing="0"/>
        <w:ind w:firstLine="480" w:firstLineChars="200"/>
        <w:rPr>
          <w:rFonts w:ascii="楷体" w:hAnsi="楷体" w:eastAsia="楷体"/>
          <w:highlight w:val="none"/>
        </w:rPr>
      </w:pPr>
      <w:r>
        <w:rPr>
          <w:rFonts w:hint="eastAsia" w:ascii="楷体" w:hAnsi="楷体" w:eastAsia="楷体" w:cs="Times New Roman"/>
          <w:highlight w:val="none"/>
        </w:rPr>
        <w:t>《风险揭示书》、《理财产品说明书》、《理财产品（代理）销售协议书》</w:t>
      </w:r>
      <w:r>
        <w:rPr>
          <w:rFonts w:hint="eastAsia" w:ascii="楷体" w:hAnsi="楷体" w:eastAsia="楷体" w:cs="Times New Roman"/>
          <w:highlight w:val="none"/>
          <w:lang w:eastAsia="zh-CN"/>
        </w:rPr>
        <w:t>、</w:t>
      </w:r>
      <w:r>
        <w:rPr>
          <w:rFonts w:hint="eastAsia" w:ascii="楷体" w:hAnsi="楷体" w:eastAsia="楷体" w:cs="Times New Roman"/>
          <w:highlight w:val="none"/>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highlight w:val="none"/>
        </w:rPr>
      </w:pP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ascii="楷体" w:hAnsi="楷体" w:eastAsia="楷体"/>
          <w:highlight w:val="none"/>
        </w:rPr>
      </w:pPr>
    </w:p>
    <w:p>
      <w:pPr>
        <w:ind w:firstLine="482" w:firstLineChars="150"/>
        <w:jc w:val="right"/>
        <w:rPr>
          <w:rFonts w:ascii="楷体" w:hAnsi="楷体" w:eastAsia="楷体"/>
          <w:sz w:val="24"/>
          <w:szCs w:val="24"/>
          <w:highlight w:val="none"/>
        </w:rPr>
      </w:pPr>
      <w:r>
        <w:rPr>
          <w:rFonts w:hint="eastAsia" w:ascii="楷体" w:hAnsi="楷体" w:eastAsia="楷体"/>
          <w:b/>
          <w:sz w:val="32"/>
          <w:szCs w:val="32"/>
          <w:highlight w:val="none"/>
        </w:rPr>
        <w:t xml:space="preserve"> </w:t>
      </w:r>
    </w:p>
    <w:p>
      <w:pPr>
        <w:rPr>
          <w:rFonts w:ascii="楷体" w:hAnsi="楷体" w:eastAsia="楷体"/>
          <w:highlight w:val="none"/>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w:t>
      </w:r>
      <w:r>
        <w:rPr>
          <w:rFonts w:hint="eastAsia" w:ascii="楷体" w:hAnsi="楷体" w:eastAsia="楷体"/>
          <w:b/>
          <w:sz w:val="36"/>
          <w:szCs w:val="36"/>
          <w:highlight w:val="none"/>
          <w:lang w:eastAsia="zh-CN"/>
        </w:rPr>
        <w:t>现金</w:t>
      </w:r>
      <w:r>
        <w:rPr>
          <w:rFonts w:hint="eastAsia" w:ascii="楷体" w:hAnsi="楷体" w:eastAsia="楷体"/>
          <w:b/>
          <w:sz w:val="36"/>
          <w:szCs w:val="36"/>
          <w:highlight w:val="none"/>
        </w:rPr>
        <w:t>1号”理财产品说明书</w:t>
      </w:r>
    </w:p>
    <w:p>
      <w:pPr>
        <w:jc w:val="center"/>
        <w:rPr>
          <w:rFonts w:ascii="楷体" w:hAnsi="楷体" w:eastAsia="楷体"/>
          <w:b/>
          <w:sz w:val="28"/>
          <w:szCs w:val="28"/>
          <w:highlight w:val="none"/>
        </w:rPr>
      </w:pPr>
      <w:r>
        <w:rPr>
          <w:rFonts w:hint="eastAsia" w:ascii="楷体" w:hAnsi="楷体" w:eastAsia="楷体" w:cs="宋体"/>
          <w:b/>
          <w:kern w:val="0"/>
          <w:sz w:val="32"/>
          <w:szCs w:val="32"/>
          <w:highlight w:val="none"/>
        </w:rPr>
        <w:t>理财非存款、产品有风险、投资须谨慎</w:t>
      </w:r>
    </w:p>
    <w:p>
      <w:pPr>
        <w:rPr>
          <w:rFonts w:ascii="楷体" w:hAnsi="楷体" w:eastAsia="楷体"/>
          <w:b/>
          <w:sz w:val="28"/>
          <w:szCs w:val="28"/>
          <w:highlight w:val="none"/>
        </w:rPr>
      </w:pPr>
      <w:r>
        <w:rPr>
          <w:rFonts w:hint="eastAsia" w:ascii="楷体" w:hAnsi="楷体" w:eastAsia="楷体"/>
          <w:b/>
          <w:sz w:val="28"/>
          <w:szCs w:val="28"/>
          <w:highlight w:val="none"/>
        </w:rPr>
        <w:t>重要须知</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color w:val="auto"/>
          <w:sz w:val="24"/>
          <w:szCs w:val="24"/>
          <w:highlight w:val="none"/>
          <w:u w:val="single"/>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、其他风险等。请仔细阅读《“苏银理财启源</w:t>
      </w:r>
      <w:r>
        <w:rPr>
          <w:rFonts w:hint="eastAsia" w:ascii="楷体" w:hAnsi="楷体" w:eastAsia="楷体"/>
          <w:sz w:val="24"/>
          <w:szCs w:val="24"/>
          <w:highlight w:val="none"/>
          <w:lang w:eastAsia="zh-CN"/>
        </w:rPr>
        <w:t>现金</w:t>
      </w:r>
      <w:r>
        <w:rPr>
          <w:rFonts w:hint="eastAsia" w:ascii="楷体" w:hAnsi="楷体" w:eastAsia="楷体"/>
          <w:sz w:val="24"/>
          <w:szCs w:val="24"/>
          <w:highlight w:val="none"/>
        </w:rPr>
        <w:t>1号”理财产品风险揭示书》的“风险揭示”部分。</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2"/>
        </w:numPr>
        <w:rPr>
          <w:rFonts w:ascii="楷体" w:hAnsi="楷体" w:eastAsia="楷体"/>
          <w:b/>
          <w:bCs/>
          <w:sz w:val="24"/>
          <w:szCs w:val="24"/>
          <w:highlight w:val="non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为贯彻落实</w:t>
      </w:r>
      <w:r>
        <w:rPr>
          <w:rFonts w:hint="eastAsia" w:ascii="楷体" w:hAnsi="楷体" w:eastAsia="楷体"/>
          <w:color w:val="auto"/>
          <w:sz w:val="24"/>
          <w:szCs w:val="24"/>
          <w:highlight w:val="none"/>
          <w:lang w:val="en-US" w:eastAsia="zh-CN"/>
        </w:rPr>
        <w:t>金融监管总局</w:t>
      </w:r>
      <w:r>
        <w:rPr>
          <w:rFonts w:hint="eastAsia" w:ascii="楷体" w:hAnsi="楷体" w:eastAsia="楷体"/>
          <w:sz w:val="24"/>
          <w:szCs w:val="24"/>
          <w:highlight w:val="none"/>
        </w:rPr>
        <w:t>和银行业理财登记托管中心的要求，苏银理财将向监管机构报送理财产品投资者身份信息、每日交易、持仓等信息。后续</w:t>
      </w:r>
      <w:r>
        <w:rPr>
          <w:rFonts w:hint="eastAsia" w:ascii="楷体" w:hAnsi="楷体" w:eastAsia="楷体"/>
          <w:color w:val="auto"/>
          <w:sz w:val="24"/>
          <w:szCs w:val="24"/>
          <w:highlight w:val="none"/>
          <w:lang w:val="en-US" w:eastAsia="zh-CN"/>
        </w:rPr>
        <w:t>金融监管总局</w:t>
      </w:r>
      <w:r>
        <w:rPr>
          <w:rFonts w:hint="eastAsia" w:ascii="楷体" w:hAnsi="楷体" w:eastAsia="楷体"/>
          <w:sz w:val="24"/>
          <w:szCs w:val="24"/>
          <w:highlight w:val="none"/>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2"/>
        </w:numPr>
        <w:rPr>
          <w:rFonts w:ascii="楷体" w:hAnsi="楷体" w:eastAsia="楷体"/>
          <w:highlight w:val="none"/>
        </w:rPr>
      </w:pPr>
      <w:r>
        <w:rPr>
          <w:rFonts w:hint="eastAsia" w:ascii="楷体" w:hAnsi="楷体" w:eastAsia="楷体"/>
          <w:sz w:val="24"/>
          <w:szCs w:val="24"/>
          <w:highlight w:val="none"/>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产品要素</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产品名称</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w:t>
            </w:r>
            <w:r>
              <w:rPr>
                <w:rFonts w:hint="eastAsia" w:ascii="楷体" w:hAnsi="楷体" w:eastAsia="楷体" w:cs="宋体"/>
                <w:spacing w:val="-2"/>
                <w:sz w:val="21"/>
                <w:szCs w:val="21"/>
                <w:highlight w:val="none"/>
                <w:lang w:eastAsia="zh-CN"/>
              </w:rPr>
              <w:t>现金</w:t>
            </w:r>
            <w:r>
              <w:rPr>
                <w:rFonts w:hint="eastAsia" w:ascii="楷体" w:hAnsi="楷体" w:eastAsia="楷体" w:cs="宋体"/>
                <w:spacing w:val="-2"/>
                <w:sz w:val="21"/>
                <w:szCs w:val="21"/>
                <w:highlight w:val="none"/>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理财产品登记编码</w:t>
            </w:r>
          </w:p>
        </w:tc>
        <w:tc>
          <w:tcPr>
            <w:tcW w:w="6795" w:type="dxa"/>
            <w:vAlign w:val="center"/>
          </w:tcPr>
          <w:p>
            <w:pPr>
              <w:pStyle w:val="36"/>
              <w:kinsoku w:val="0"/>
              <w:overflowPunct w:val="0"/>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Z7003121000014</w:t>
            </w:r>
          </w:p>
          <w:p>
            <w:pPr>
              <w:pStyle w:val="36"/>
              <w:kinsoku w:val="0"/>
              <w:overflowPunct w:val="0"/>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（投资者可依据该编码在中国理财网</w:t>
            </w:r>
            <w:r>
              <w:rPr>
                <w:rFonts w:ascii="楷体" w:hAnsi="楷体" w:eastAsia="楷体" w:cs="宋体"/>
                <w:spacing w:val="-2"/>
                <w:sz w:val="21"/>
                <w:szCs w:val="21"/>
                <w:highlight w:val="none"/>
              </w:rPr>
              <w:t>www.chinawealth.com</w:t>
            </w:r>
            <w:r>
              <w:rPr>
                <w:rFonts w:hint="eastAsia" w:ascii="楷体" w:hAnsi="楷体" w:eastAsia="楷体" w:cs="宋体"/>
                <w:spacing w:val="-2"/>
                <w:sz w:val="21"/>
                <w:szCs w:val="21"/>
                <w:highlight w:val="none"/>
                <w:lang w:val="en-US" w:eastAsia="zh-CN"/>
              </w:rPr>
              <w:t>.</w:t>
            </w:r>
            <w:r>
              <w:rPr>
                <w:rFonts w:ascii="楷体" w:hAnsi="楷体" w:eastAsia="楷体" w:cs="宋体"/>
                <w:spacing w:val="-2"/>
                <w:sz w:val="21"/>
                <w:szCs w:val="21"/>
                <w:highlight w:val="none"/>
              </w:rPr>
              <w:t>cn</w:t>
            </w:r>
            <w:r>
              <w:rPr>
                <w:rFonts w:hint="eastAsia" w:ascii="楷体" w:hAnsi="楷体" w:eastAsia="楷体" w:cs="宋体"/>
                <w:spacing w:val="-2"/>
                <w:sz w:val="21"/>
                <w:szCs w:val="21"/>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A</w:t>
            </w:r>
            <w:r>
              <w:rPr>
                <w:rFonts w:hint="eastAsia" w:ascii="楷体" w:hAnsi="楷体" w:eastAsia="楷体" w:cs="宋体"/>
                <w:spacing w:val="-2"/>
                <w:sz w:val="21"/>
                <w:szCs w:val="21"/>
                <w:highlight w:val="none"/>
              </w:rPr>
              <w:t>/</w:t>
            </w:r>
            <w:r>
              <w:rPr>
                <w:rFonts w:ascii="楷体" w:hAnsi="楷体" w:eastAsia="楷体" w:cs="宋体"/>
                <w:spacing w:val="-2"/>
                <w:sz w:val="21"/>
                <w:szCs w:val="21"/>
                <w:highlight w:val="none"/>
              </w:rPr>
              <w:t>J183008SA819</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lang w:eastAsia="zh-CN"/>
              </w:rPr>
              <w:t>苏银理财启源现金1号（代发专享）</w:t>
            </w:r>
            <w:r>
              <w:rPr>
                <w:rFonts w:hint="eastAsia" w:ascii="楷体" w:hAnsi="楷体" w:eastAsia="楷体" w:cs="宋体"/>
                <w:spacing w:val="-2"/>
                <w:sz w:val="21"/>
                <w:szCs w:val="21"/>
                <w:highlight w:val="none"/>
              </w:rPr>
              <w:t>/</w:t>
            </w:r>
            <w:r>
              <w:rPr>
                <w:rFonts w:ascii="楷体" w:hAnsi="楷体" w:eastAsia="楷体" w:cs="宋体"/>
                <w:spacing w:val="-2"/>
                <w:sz w:val="21"/>
                <w:szCs w:val="21"/>
                <w:highlight w:val="none"/>
              </w:rPr>
              <w:t>J183008SA81B</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w:t>
            </w:r>
            <w:r>
              <w:rPr>
                <w:rFonts w:ascii="楷体" w:hAnsi="楷体" w:eastAsia="楷体" w:cs="宋体"/>
                <w:spacing w:val="-2"/>
                <w:sz w:val="21"/>
                <w:szCs w:val="21"/>
                <w:highlight w:val="none"/>
              </w:rPr>
              <w:t>J183008SB81C</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E</w:t>
            </w:r>
            <w:r>
              <w:rPr>
                <w:rFonts w:hint="eastAsia" w:ascii="楷体" w:hAnsi="楷体" w:eastAsia="楷体" w:cs="宋体"/>
                <w:spacing w:val="-2"/>
                <w:sz w:val="21"/>
                <w:szCs w:val="21"/>
                <w:highlight w:val="none"/>
              </w:rPr>
              <w:t>/</w:t>
            </w:r>
            <w:r>
              <w:rPr>
                <w:rFonts w:ascii="楷体" w:hAnsi="楷体" w:eastAsia="楷体" w:cs="宋体"/>
                <w:spacing w:val="-2"/>
                <w:sz w:val="21"/>
                <w:szCs w:val="21"/>
                <w:highlight w:val="none"/>
              </w:rPr>
              <w:t>J183008SA81</w:t>
            </w:r>
            <w:r>
              <w:rPr>
                <w:rFonts w:hint="eastAsia" w:ascii="楷体" w:hAnsi="楷体" w:eastAsia="楷体" w:cs="宋体"/>
                <w:spacing w:val="-2"/>
                <w:sz w:val="21"/>
                <w:szCs w:val="21"/>
                <w:highlight w:val="none"/>
              </w:rPr>
              <w:t>D</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H</w:t>
            </w:r>
            <w:r>
              <w:rPr>
                <w:rFonts w:hint="eastAsia" w:ascii="楷体" w:hAnsi="楷体" w:eastAsia="楷体" w:cs="宋体"/>
                <w:spacing w:val="-2"/>
                <w:sz w:val="21"/>
                <w:szCs w:val="21"/>
                <w:highlight w:val="none"/>
              </w:rPr>
              <w:t>/J01623</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苏银理财启源现金1号F/J02008</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苏银理财启源现金1号G/J02158</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/J02415</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X</w:t>
            </w:r>
            <w:r>
              <w:rPr>
                <w:rFonts w:hint="eastAsia" w:ascii="楷体" w:hAnsi="楷体" w:eastAsia="楷体" w:cs="宋体"/>
                <w:spacing w:val="-2"/>
                <w:sz w:val="21"/>
                <w:szCs w:val="21"/>
                <w:highlight w:val="none"/>
              </w:rPr>
              <w:t>/J02561</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S</w:t>
            </w:r>
            <w:r>
              <w:rPr>
                <w:rFonts w:hint="eastAsia" w:ascii="楷体" w:hAnsi="楷体" w:eastAsia="楷体" w:cs="宋体"/>
                <w:spacing w:val="-2"/>
                <w:sz w:val="21"/>
                <w:szCs w:val="21"/>
                <w:highlight w:val="none"/>
              </w:rPr>
              <w:t>/J02</w:t>
            </w:r>
            <w:r>
              <w:rPr>
                <w:rFonts w:hint="eastAsia" w:ascii="楷体" w:hAnsi="楷体" w:eastAsia="楷体" w:cs="宋体"/>
                <w:spacing w:val="-2"/>
                <w:sz w:val="21"/>
                <w:szCs w:val="21"/>
                <w:highlight w:val="none"/>
                <w:lang w:val="en-US" w:eastAsia="zh-CN"/>
              </w:rPr>
              <w:t>626</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/J02</w:t>
            </w:r>
            <w:r>
              <w:rPr>
                <w:rFonts w:hint="eastAsia" w:ascii="楷体" w:hAnsi="楷体" w:eastAsia="楷体" w:cs="宋体"/>
                <w:spacing w:val="-2"/>
                <w:sz w:val="21"/>
                <w:szCs w:val="21"/>
                <w:highlight w:val="none"/>
                <w:lang w:val="en-US" w:eastAsia="zh-CN"/>
              </w:rPr>
              <w:t>692</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DG2</w:t>
            </w:r>
            <w:r>
              <w:rPr>
                <w:rFonts w:hint="eastAsia" w:ascii="楷体" w:hAnsi="楷体" w:eastAsia="楷体" w:cs="宋体"/>
                <w:spacing w:val="-2"/>
                <w:sz w:val="21"/>
                <w:szCs w:val="21"/>
                <w:highlight w:val="none"/>
              </w:rPr>
              <w:t>/J0</w:t>
            </w:r>
            <w:r>
              <w:rPr>
                <w:rFonts w:hint="eastAsia" w:ascii="楷体" w:hAnsi="楷体" w:eastAsia="楷体" w:cs="宋体"/>
                <w:spacing w:val="-2"/>
                <w:sz w:val="21"/>
                <w:szCs w:val="21"/>
                <w:highlight w:val="none"/>
                <w:lang w:val="en-US" w:eastAsia="zh-CN"/>
              </w:rPr>
              <w:t>3410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WS</w:t>
            </w:r>
            <w:r>
              <w:rPr>
                <w:rFonts w:hint="eastAsia" w:ascii="楷体" w:hAnsi="楷体" w:eastAsia="楷体" w:cs="宋体"/>
                <w:spacing w:val="-2"/>
                <w:sz w:val="21"/>
                <w:szCs w:val="21"/>
                <w:highlight w:val="none"/>
              </w:rPr>
              <w:t>/J03552</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苏银</w:t>
            </w:r>
            <w:r>
              <w:rPr>
                <w:rFonts w:hint="eastAsia" w:ascii="楷体" w:hAnsi="楷体" w:eastAsia="楷体" w:cs="宋体"/>
                <w:spacing w:val="-2"/>
                <w:sz w:val="21"/>
                <w:szCs w:val="21"/>
                <w:highlight w:val="none"/>
              </w:rPr>
              <w:t>理财启源现金1号</w:t>
            </w:r>
            <w:r>
              <w:rPr>
                <w:rFonts w:hint="eastAsia" w:ascii="楷体" w:hAnsi="楷体" w:eastAsia="楷体" w:cs="宋体"/>
                <w:spacing w:val="-2"/>
                <w:sz w:val="21"/>
                <w:szCs w:val="21"/>
                <w:highlight w:val="none"/>
                <w:lang w:val="en-US" w:eastAsia="zh-CN"/>
              </w:rPr>
              <w:t>DG3</w:t>
            </w:r>
            <w:r>
              <w:rPr>
                <w:rFonts w:hint="eastAsia" w:ascii="楷体" w:hAnsi="楷体" w:eastAsia="楷体" w:cs="宋体"/>
                <w:spacing w:val="-2"/>
                <w:sz w:val="21"/>
                <w:szCs w:val="21"/>
                <w:highlight w:val="none"/>
              </w:rPr>
              <w:t>/J0</w:t>
            </w:r>
            <w:r>
              <w:rPr>
                <w:rFonts w:hint="eastAsia" w:ascii="楷体" w:hAnsi="楷体" w:eastAsia="楷体" w:cs="宋体"/>
                <w:spacing w:val="-2"/>
                <w:sz w:val="21"/>
                <w:szCs w:val="21"/>
                <w:highlight w:val="none"/>
                <w:lang w:val="en-US" w:eastAsia="zh-CN"/>
              </w:rPr>
              <w:t>3760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苏银理财启源现金1号K/J03800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6"/>
              <w:kinsoku w:val="0"/>
              <w:overflowPunct w:val="0"/>
              <w:spacing w:before="13"/>
              <w:ind w:left="115" w:right="115" w:rightChars="55"/>
              <w:jc w:val="both"/>
              <w:rPr>
                <w:rFonts w:ascii="楷体" w:hAnsi="楷体" w:eastAsia="楷体" w:cs="宋体"/>
                <w:spacing w:val="-2"/>
                <w:sz w:val="21"/>
                <w:szCs w:val="21"/>
                <w:highlight w:val="none"/>
              </w:rPr>
            </w:pPr>
            <w:r>
              <w:rPr>
                <w:rFonts w:hint="eastAsia" w:ascii="楷体" w:hAnsi="楷体" w:eastAsia="楷体" w:cs="宋体"/>
                <w:bCs/>
                <w:spacing w:val="-2"/>
                <w:sz w:val="21"/>
                <w:szCs w:val="21"/>
                <w:highlight w:val="non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销售对象</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A</w:t>
            </w:r>
            <w:r>
              <w:rPr>
                <w:rFonts w:hint="eastAsia" w:ascii="楷体" w:hAnsi="楷体" w:eastAsia="楷体" w:cs="宋体"/>
                <w:spacing w:val="-2"/>
                <w:sz w:val="21"/>
                <w:szCs w:val="21"/>
                <w:highlight w:val="none"/>
              </w:rPr>
              <w:t>：个人投资者；</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lang w:eastAsia="zh-CN"/>
              </w:rPr>
              <w:t>苏银理财启源现金1号（代发专享）</w:t>
            </w:r>
            <w:r>
              <w:rPr>
                <w:rFonts w:hint="eastAsia" w:ascii="楷体" w:hAnsi="楷体" w:eastAsia="楷体" w:cs="宋体"/>
                <w:spacing w:val="-2"/>
                <w:sz w:val="21"/>
                <w:szCs w:val="21"/>
                <w:highlight w:val="none"/>
              </w:rPr>
              <w:t>：个人和机构投资者（仅限</w:t>
            </w:r>
            <w:r>
              <w:rPr>
                <w:rFonts w:hint="eastAsia" w:ascii="楷体" w:hAnsi="楷体" w:eastAsia="楷体" w:cs="宋体"/>
                <w:spacing w:val="-2"/>
                <w:sz w:val="21"/>
                <w:szCs w:val="21"/>
                <w:highlight w:val="none"/>
                <w:lang w:val="en-US" w:eastAsia="zh-CN"/>
              </w:rPr>
              <w:t>销售机构</w:t>
            </w:r>
            <w:r>
              <w:rPr>
                <w:rFonts w:hint="eastAsia" w:ascii="楷体" w:hAnsi="楷体" w:eastAsia="楷体" w:cs="宋体"/>
                <w:spacing w:val="-2"/>
                <w:sz w:val="21"/>
                <w:szCs w:val="21"/>
                <w:highlight w:val="none"/>
              </w:rPr>
              <w:t>江苏银行</w:t>
            </w:r>
            <w:r>
              <w:rPr>
                <w:rFonts w:hint="eastAsia" w:ascii="楷体" w:hAnsi="楷体" w:eastAsia="楷体" w:cs="宋体"/>
                <w:spacing w:val="-2"/>
                <w:sz w:val="21"/>
                <w:szCs w:val="21"/>
                <w:highlight w:val="none"/>
                <w:lang w:val="en-US" w:eastAsia="zh-CN"/>
              </w:rPr>
              <w:t>代发工资客户</w:t>
            </w:r>
            <w:r>
              <w:rPr>
                <w:rFonts w:hint="eastAsia" w:ascii="楷体" w:hAnsi="楷体" w:eastAsia="楷体" w:cs="宋体"/>
                <w:spacing w:val="-2"/>
                <w:sz w:val="21"/>
                <w:szCs w:val="21"/>
                <w:highlight w:val="none"/>
              </w:rPr>
              <w:t>）；</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：机构投资者；</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E</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仅限销售机构江苏银行私行客户</w:t>
            </w:r>
            <w:r>
              <w:rPr>
                <w:rFonts w:hint="eastAsia" w:ascii="楷体" w:hAnsi="楷体" w:eastAsia="楷体" w:cs="宋体"/>
                <w:spacing w:val="-2"/>
                <w:sz w:val="21"/>
                <w:szCs w:val="21"/>
                <w:highlight w:val="none"/>
                <w:lang w:val="en-US" w:eastAsia="zh-CN"/>
              </w:rPr>
              <w:t>以及</w:t>
            </w:r>
            <w:r>
              <w:rPr>
                <w:rFonts w:hint="eastAsia" w:ascii="楷体" w:hAnsi="楷体" w:eastAsia="楷体" w:cs="宋体"/>
                <w:spacing w:val="-2"/>
                <w:sz w:val="21"/>
                <w:szCs w:val="21"/>
                <w:highlight w:val="none"/>
              </w:rPr>
              <w:t>其他销售机构的特定客群购买，具体以销售机构系统设置为准。</w:t>
            </w:r>
            <w:r>
              <w:rPr>
                <w:rFonts w:ascii="楷体" w:hAnsi="楷体" w:eastAsia="楷体" w:cs="宋体"/>
                <w:spacing w:val="-2"/>
                <w:sz w:val="21"/>
                <w:szCs w:val="21"/>
                <w:highlight w:val="none"/>
              </w:rPr>
              <w:t>江苏银行</w:t>
            </w:r>
            <w:r>
              <w:rPr>
                <w:rFonts w:hint="eastAsia" w:ascii="楷体" w:hAnsi="楷体" w:eastAsia="楷体" w:cs="宋体"/>
                <w:spacing w:val="-2"/>
                <w:sz w:val="21"/>
                <w:szCs w:val="21"/>
                <w:highlight w:val="none"/>
              </w:rPr>
              <w:t>私行客户指在江苏银行日均资产大于等于600万元的个人客户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机构投资者具体以销售机构设置为准</w:t>
            </w:r>
            <w:r>
              <w:rPr>
                <w:rFonts w:hint="eastAsia" w:ascii="楷体" w:hAnsi="楷体" w:eastAsia="楷体" w:cs="宋体"/>
                <w:spacing w:val="-2"/>
                <w:sz w:val="21"/>
                <w:szCs w:val="21"/>
                <w:highlight w:val="none"/>
              </w:rPr>
              <w:t>）；</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H</w:t>
            </w:r>
            <w:r>
              <w:rPr>
                <w:rFonts w:hint="eastAsia" w:ascii="楷体" w:hAnsi="楷体" w:eastAsia="楷体" w:cs="宋体"/>
                <w:spacing w:val="-2"/>
                <w:sz w:val="21"/>
                <w:szCs w:val="21"/>
                <w:highlight w:val="none"/>
              </w:rPr>
              <w:t>：个人（非江苏银行渠道，具体以“销售机构”公示为准）；</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苏银理财启源现金1号F：个人和机构投资者（非江苏银行渠道，具体以“销售机构”公示为准）。</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苏银理财启源现金1号G：个人和机构投资者（非江苏银行渠道，具体以“销售机构”公示为准）。</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：个人和机构投资者（非江苏银行渠道，具体以“销售机构”公示为准）。</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X</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具体以“销售机构”公示为准</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S</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非江苏银行渠道，具体以“销售机构”公示为准</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非江苏银行渠道，具体以“销售机构”公示为准</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DG2</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val="en-US"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WS</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val="en-US"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DG3</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计划发行规模</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初始募集规模1亿元，存量规模上限为</w:t>
            </w:r>
            <w:r>
              <w:rPr>
                <w:rFonts w:hint="eastAsia" w:ascii="楷体" w:hAnsi="楷体" w:eastAsia="楷体" w:cs="宋体"/>
                <w:spacing w:val="-2"/>
                <w:sz w:val="21"/>
                <w:szCs w:val="21"/>
                <w:highlight w:val="none"/>
                <w:lang w:val="en-US" w:eastAsia="zh-CN"/>
              </w:rPr>
              <w:t>257</w:t>
            </w:r>
            <w:r>
              <w:rPr>
                <w:rFonts w:hint="eastAsia" w:ascii="楷体" w:hAnsi="楷体" w:eastAsia="楷体" w:cs="宋体"/>
                <w:spacing w:val="-2"/>
                <w:sz w:val="21"/>
                <w:szCs w:val="21"/>
                <w:highlight w:val="none"/>
              </w:rPr>
              <w:t>0亿元，各份额发行规模上限如下：</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A</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0亿元。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lang w:eastAsia="zh-CN"/>
              </w:rPr>
              <w:t>苏银理财启源现金1号（代发专享）</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w:t>
            </w:r>
            <w:r>
              <w:rPr>
                <w:rFonts w:hint="eastAsia" w:ascii="楷体" w:hAnsi="楷体" w:eastAsia="楷体" w:cs="宋体"/>
                <w:spacing w:val="-2"/>
                <w:sz w:val="21"/>
                <w:szCs w:val="21"/>
                <w:highlight w:val="none"/>
              </w:rPr>
              <w:t>00亿元。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：发行规模上限200亿元。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E</w:t>
            </w:r>
            <w:r>
              <w:rPr>
                <w:rFonts w:hint="eastAsia" w:ascii="楷体" w:hAnsi="楷体" w:eastAsia="楷体" w:cs="宋体"/>
                <w:spacing w:val="-2"/>
                <w:sz w:val="21"/>
                <w:szCs w:val="21"/>
                <w:highlight w:val="none"/>
              </w:rPr>
              <w:t>：发行规模上限100亿元。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H</w:t>
            </w:r>
            <w:r>
              <w:rPr>
                <w:rFonts w:hint="eastAsia" w:ascii="楷体" w:hAnsi="楷体" w:eastAsia="楷体" w:cs="宋体"/>
                <w:spacing w:val="-2"/>
                <w:sz w:val="21"/>
                <w:szCs w:val="21"/>
                <w:highlight w:val="none"/>
              </w:rPr>
              <w:t>：发行规模上限为100亿元。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苏银理财启源现金1号F：发行规模上限为50亿元。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苏银理财启源现金1号G：发行规模上限100亿元。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：发行规模上限100亿元。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X</w:t>
            </w:r>
            <w:r>
              <w:rPr>
                <w:rFonts w:hint="eastAsia" w:ascii="楷体" w:hAnsi="楷体" w:eastAsia="楷体" w:cs="宋体"/>
                <w:spacing w:val="-2"/>
                <w:sz w:val="21"/>
                <w:szCs w:val="21"/>
                <w:highlight w:val="none"/>
              </w:rPr>
              <w:t>：发行规模上限</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00亿元。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S</w:t>
            </w:r>
            <w:r>
              <w:rPr>
                <w:rFonts w:hint="eastAsia" w:ascii="楷体" w:hAnsi="楷体" w:eastAsia="楷体" w:cs="宋体"/>
                <w:spacing w:val="-2"/>
                <w:sz w:val="21"/>
                <w:szCs w:val="21"/>
                <w:highlight w:val="none"/>
              </w:rPr>
              <w:t>：发行规模上限</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00亿元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：发行规模上限</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00亿元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DG2</w:t>
            </w:r>
            <w:r>
              <w:rPr>
                <w:rFonts w:hint="eastAsia" w:ascii="楷体" w:hAnsi="楷体" w:eastAsia="楷体" w:cs="宋体"/>
                <w:spacing w:val="-2"/>
                <w:sz w:val="21"/>
                <w:szCs w:val="21"/>
                <w:highlight w:val="none"/>
              </w:rPr>
              <w:t>：发行规模上限</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WS</w:t>
            </w:r>
            <w:r>
              <w:rPr>
                <w:rFonts w:hint="eastAsia" w:ascii="楷体" w:hAnsi="楷体" w:eastAsia="楷体" w:cs="宋体"/>
                <w:spacing w:val="-2"/>
                <w:sz w:val="21"/>
                <w:szCs w:val="21"/>
                <w:highlight w:val="none"/>
              </w:rPr>
              <w:t>：发行规模上限100亿元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DG3</w:t>
            </w:r>
            <w:r>
              <w:rPr>
                <w:rFonts w:hint="eastAsia" w:ascii="楷体" w:hAnsi="楷体" w:eastAsia="楷体" w:cs="宋体"/>
                <w:spacing w:val="-2"/>
                <w:sz w:val="21"/>
                <w:szCs w:val="21"/>
                <w:highlight w:val="none"/>
              </w:rPr>
              <w:t>：发行规模上限</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：发行规模上限100亿元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管理人有权对</w:t>
            </w: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发行规模上限根据实际业务需求进行调整</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lang w:val="en-US" w:eastAsia="zh-CN"/>
              </w:rPr>
              <w:t>购买</w:t>
            </w:r>
            <w:r>
              <w:rPr>
                <w:rFonts w:hint="eastAsia" w:ascii="楷体" w:hAnsi="楷体" w:eastAsia="楷体" w:cs="宋体"/>
                <w:b/>
                <w:spacing w:val="-2"/>
                <w:sz w:val="21"/>
                <w:szCs w:val="21"/>
                <w:highlight w:val="none"/>
              </w:rPr>
              <w:t>起点</w:t>
            </w:r>
            <w:r>
              <w:rPr>
                <w:rFonts w:ascii="楷体" w:hAnsi="楷体" w:eastAsia="楷体" w:cs="宋体"/>
                <w:b/>
                <w:spacing w:val="-2"/>
                <w:sz w:val="21"/>
                <w:szCs w:val="21"/>
                <w:highlight w:val="none"/>
              </w:rPr>
              <w:t>/</w:t>
            </w:r>
            <w:r>
              <w:rPr>
                <w:rFonts w:hint="eastAsia" w:ascii="楷体" w:hAnsi="楷体" w:eastAsia="楷体" w:cs="宋体"/>
                <w:b/>
                <w:spacing w:val="-2"/>
                <w:sz w:val="21"/>
                <w:szCs w:val="21"/>
                <w:highlight w:val="none"/>
              </w:rPr>
              <w:t>追加金额</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A</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lang w:eastAsia="zh-CN"/>
              </w:rPr>
              <w:t>苏银理财启源现金1号（代发专享）</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1000</w:t>
            </w:r>
            <w:r>
              <w:rPr>
                <w:rFonts w:hint="eastAsia" w:ascii="楷体" w:hAnsi="楷体" w:eastAsia="楷体" w:cs="宋体"/>
                <w:spacing w:val="-2"/>
                <w:sz w:val="21"/>
                <w:szCs w:val="21"/>
                <w:highlight w:val="none"/>
              </w:rPr>
              <w:t>元,追加金额为0.01元的整数倍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100万</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元的整数倍。</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：首次认/申购起点金额为1万元,追加金额为0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E</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100万</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1亿</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元的整数倍。</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H</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苏银理财启源现金1号F：首次认/申购起点金额为0.01元,追加金额为0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苏银理财启源现金1号G：次认/申购起点金额为1元,追加金额为0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X</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S</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DG2</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1亿</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元的整数倍</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WS</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ind w:left="115" w:right="115" w:rightChars="55"/>
              <w:rPr>
                <w:rFonts w:hint="eastAsia" w:ascii="楷体" w:hAnsi="楷体" w:eastAsia="楷体" w:cs="宋体"/>
                <w:spacing w:val="-2"/>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DG3</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5000万</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元的整数倍</w:t>
            </w:r>
            <w:r>
              <w:rPr>
                <w:rFonts w:hint="eastAsia" w:ascii="楷体" w:hAnsi="楷体" w:eastAsia="楷体" w:cs="宋体"/>
                <w:spacing w:val="-2"/>
                <w:szCs w:val="21"/>
                <w:highlight w:val="none"/>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ind w:left="115" w:right="115" w:rightChars="55"/>
              <w:rPr>
                <w:rFonts w:hint="eastAsia" w:ascii="楷体" w:hAnsi="楷体" w:eastAsia="楷体" w:cs="宋体"/>
                <w:spacing w:val="-2"/>
                <w:szCs w:val="21"/>
                <w:highlight w:val="none"/>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Cs w:val="21"/>
                <w:highlight w:val="none"/>
              </w:rPr>
              <w:t>苏银理财有权对上述起点金额和递增金额进行调整，并在调整前进行公告</w:t>
            </w:r>
            <w:r>
              <w:rPr>
                <w:rFonts w:hint="eastAsia" w:ascii="楷体" w:hAnsi="楷体" w:eastAsia="楷体" w:cs="宋体"/>
                <w:spacing w:val="-2"/>
                <w:szCs w:val="21"/>
                <w:highlight w:val="none"/>
                <w:lang w:eastAsia="zh-CN"/>
              </w:rPr>
              <w:t>。</w:t>
            </w:r>
          </w:p>
          <w:p>
            <w:pPr>
              <w:ind w:left="115" w:leftChars="0" w:right="115" w:rightChars="55"/>
              <w:rPr>
                <w:rFonts w:hint="eastAsia" w:ascii="楷体" w:hAnsi="楷体" w:eastAsia="楷体" w:cs="宋体"/>
                <w:b/>
                <w:spacing w:val="-2"/>
                <w:szCs w:val="21"/>
                <w:highlight w:val="none"/>
                <w:u w:val="single"/>
              </w:rPr>
            </w:pPr>
            <w:r>
              <w:rPr>
                <w:rFonts w:hint="eastAsia" w:ascii="楷体" w:hAnsi="楷体" w:eastAsia="楷体"/>
                <w:szCs w:val="21"/>
                <w:highlight w:val="none"/>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b/>
                <w:spacing w:val="-2"/>
                <w:szCs w:val="21"/>
                <w:highlight w:val="none"/>
                <w:u w:val="single"/>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b/>
                <w:spacing w:val="-2"/>
                <w:kern w:val="0"/>
                <w:sz w:val="21"/>
                <w:szCs w:val="21"/>
                <w:highlight w:val="none"/>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w:t>
            </w:r>
            <w:r>
              <w:rPr>
                <w:rFonts w:hint="eastAsia" w:ascii="楷体" w:hAnsi="楷体" w:eastAsia="楷体" w:cs="宋体"/>
                <w:spacing w:val="-2"/>
                <w:sz w:val="21"/>
                <w:szCs w:val="21"/>
                <w:highlight w:val="none"/>
                <w:lang w:eastAsia="zh-CN"/>
              </w:rPr>
              <w:t>：E/DG2/DG3份额</w:t>
            </w:r>
            <w:r>
              <w:rPr>
                <w:rFonts w:hint="eastAsia" w:ascii="楷体" w:hAnsi="楷体" w:eastAsia="楷体" w:cs="宋体"/>
                <w:spacing w:val="-2"/>
                <w:sz w:val="21"/>
                <w:szCs w:val="21"/>
                <w:highlight w:val="none"/>
                <w:lang w:val="en-US" w:eastAsia="zh-CN"/>
              </w:rPr>
              <w:t>暂无，其他份额</w:t>
            </w:r>
            <w:r>
              <w:rPr>
                <w:rFonts w:hint="eastAsia" w:ascii="楷体" w:hAnsi="楷体" w:eastAsia="楷体" w:cs="宋体"/>
                <w:spacing w:val="-2"/>
                <w:sz w:val="21"/>
                <w:szCs w:val="21"/>
                <w:highlight w:val="none"/>
              </w:rPr>
              <w:t>5000万元，超过单日累计认/申购上限时，管理人和销售机构有权拒绝投资者的认/申购申请。产品存续期内管理人和销售机构有权根据实际情况调整单日累计认</w:t>
            </w:r>
            <w:r>
              <w:rPr>
                <w:rFonts w:ascii="楷体" w:hAnsi="楷体" w:eastAsia="楷体" w:cs="宋体"/>
                <w:spacing w:val="-2"/>
                <w:sz w:val="21"/>
                <w:szCs w:val="21"/>
                <w:highlight w:val="none"/>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单一投资者持有上限</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A</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rPr>
                <w:highlight w:val="none"/>
              </w:rPr>
            </w:pPr>
            <w:r>
              <w:rPr>
                <w:rFonts w:hint="eastAsia" w:ascii="楷体" w:hAnsi="楷体" w:eastAsia="楷体" w:cs="宋体"/>
                <w:spacing w:val="-2"/>
                <w:sz w:val="21"/>
                <w:szCs w:val="21"/>
                <w:highlight w:val="none"/>
                <w:lang w:eastAsia="zh-CN"/>
              </w:rPr>
              <w:t>苏银理财启源现金1号（代发专享）</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：3亿元。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E</w:t>
            </w:r>
            <w:r>
              <w:rPr>
                <w:rFonts w:hint="eastAsia" w:ascii="楷体" w:hAnsi="楷体" w:eastAsia="楷体" w:cs="宋体"/>
                <w:spacing w:val="-2"/>
                <w:sz w:val="21"/>
                <w:szCs w:val="21"/>
                <w:highlight w:val="none"/>
              </w:rPr>
              <w:t>：3亿元。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eastAsia="zh-CN"/>
              </w:rPr>
              <w:t>H</w:t>
            </w:r>
            <w:r>
              <w:rPr>
                <w:rFonts w:hint="eastAsia" w:ascii="楷体" w:hAnsi="楷体" w:eastAsia="楷体" w:cs="宋体"/>
                <w:spacing w:val="-2"/>
                <w:sz w:val="21"/>
                <w:szCs w:val="21"/>
                <w:highlight w:val="none"/>
              </w:rPr>
              <w:t>: 1亿元。</w:t>
            </w:r>
          </w:p>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苏银理财启源现金1号F：1亿元。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苏银理财启源现金1号G：1亿元。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X</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S</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：1亿元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DG2</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WS</w:t>
            </w:r>
            <w:r>
              <w:rPr>
                <w:rFonts w:hint="eastAsia" w:ascii="楷体" w:hAnsi="楷体" w:eastAsia="楷体" w:cs="宋体"/>
                <w:spacing w:val="-2"/>
                <w:sz w:val="21"/>
                <w:szCs w:val="21"/>
                <w:highlight w:val="none"/>
              </w:rPr>
              <w:t>：1亿元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DG3</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苏银理财启源现金1号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：1亿元。</w:t>
            </w:r>
          </w:p>
          <w:p>
            <w:pPr>
              <w:pStyle w:val="36"/>
              <w:kinsoku w:val="0"/>
              <w:overflowPunct w:val="0"/>
              <w:spacing w:before="12"/>
              <w:ind w:left="115" w:right="115" w:rightChars="5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p>
            <w:pPr>
              <w:pStyle w:val="36"/>
              <w:kinsoku w:val="0"/>
              <w:overflowPunct w:val="0"/>
              <w:spacing w:before="12"/>
              <w:ind w:left="115" w:leftChars="0"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lang w:val="en-US" w:eastAsia="zh-CN"/>
              </w:rPr>
              <w:t>募集</w:t>
            </w:r>
            <w:r>
              <w:rPr>
                <w:rFonts w:hint="eastAsia" w:ascii="楷体" w:hAnsi="楷体" w:eastAsia="楷体" w:cs="宋体"/>
                <w:b/>
                <w:spacing w:val="-2"/>
                <w:sz w:val="21"/>
                <w:szCs w:val="21"/>
                <w:highlight w:val="none"/>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A/代发专享/DG/E/H/F/G份额：</w:t>
            </w:r>
            <w:r>
              <w:rPr>
                <w:rFonts w:hint="eastAsia" w:ascii="楷体" w:hAnsi="楷体" w:eastAsia="楷体" w:cs="宋体"/>
                <w:spacing w:val="-2"/>
                <w:sz w:val="21"/>
                <w:szCs w:val="21"/>
                <w:highlight w:val="none"/>
              </w:rPr>
              <w:t>2018年8月27日9:00至2018年8月29日17:00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W份额：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月2</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月29日17:00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X份额：2023年7月26日9:00至2023年7月26日17:00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S份额：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30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30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J份额：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DG2份额：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WS份额：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月2</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月2</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DG3份额：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16</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16</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leftChars="0" w:right="115" w:rightChars="55"/>
              <w:jc w:val="both"/>
              <w:rPr>
                <w:rFonts w:hint="eastAsia" w:ascii="楷体" w:hAnsi="楷体" w:eastAsia="楷体" w:cs="宋体"/>
                <w:b/>
                <w:spacing w:val="-2"/>
                <w:szCs w:val="21"/>
                <w:highlight w:val="none"/>
                <w:u w:val="single"/>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A/代发专享/DG/E/H/F/G份额：</w:t>
            </w:r>
            <w:r>
              <w:rPr>
                <w:rFonts w:hint="eastAsia" w:ascii="楷体" w:hAnsi="楷体" w:eastAsia="楷体" w:cs="宋体"/>
                <w:spacing w:val="-2"/>
                <w:sz w:val="21"/>
                <w:szCs w:val="21"/>
                <w:highlight w:val="none"/>
              </w:rPr>
              <w:t>2018年8月30日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W份额：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30</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X份额：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27</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S份额：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31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J份额：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DG2份额：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WS份额：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9</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30</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DG3份额：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17</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leftChars="0" w:right="115" w:rightChars="55"/>
              <w:jc w:val="both"/>
              <w:rPr>
                <w:rFonts w:hint="eastAsia" w:ascii="楷体" w:hAnsi="楷体" w:eastAsia="楷体" w:cs="宋体"/>
                <w:b/>
                <w:spacing w:val="-2"/>
                <w:szCs w:val="21"/>
                <w:highlight w:val="none"/>
                <w:u w:val="single"/>
              </w:rPr>
            </w:pPr>
            <w:r>
              <w:rPr>
                <w:rFonts w:hint="eastAsia" w:ascii="楷体" w:hAnsi="楷体" w:eastAsia="楷体" w:cs="宋体"/>
                <w:spacing w:val="-2"/>
                <w:sz w:val="21"/>
                <w:szCs w:val="21"/>
                <w:highlight w:val="none"/>
              </w:rPr>
              <w:t>若产品认购份额未达到最低发行总规模，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2041年3月8日（如遇节假日，顺延至下一工作日）</w:t>
            </w:r>
          </w:p>
          <w:p>
            <w:pPr>
              <w:pStyle w:val="36"/>
              <w:kinsoku w:val="0"/>
              <w:overflowPunct w:val="0"/>
              <w:spacing w:before="12"/>
              <w:ind w:left="115" w:leftChars="0" w:right="115" w:rightChars="55"/>
              <w:jc w:val="both"/>
              <w:rPr>
                <w:rFonts w:hint="eastAsia" w:ascii="楷体" w:hAnsi="楷体" w:eastAsia="楷体" w:cs="宋体"/>
                <w:b/>
                <w:spacing w:val="-2"/>
                <w:szCs w:val="21"/>
                <w:highlight w:val="none"/>
                <w:u w:val="single"/>
              </w:rPr>
            </w:pPr>
            <w:r>
              <w:rPr>
                <w:rFonts w:hint="eastAsia" w:ascii="楷体" w:hAnsi="楷体" w:eastAsia="楷体" w:cs="宋体"/>
                <w:spacing w:val="-2"/>
                <w:sz w:val="21"/>
                <w:szCs w:val="21"/>
                <w:highlight w:val="none"/>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封闭</w:t>
            </w:r>
            <w:r>
              <w:rPr>
                <w:rFonts w:hint="eastAsia" w:ascii="楷体" w:hAnsi="楷体" w:eastAsia="楷体" w:cs="宋体"/>
                <w:b/>
                <w:spacing w:val="-2"/>
                <w:sz w:val="21"/>
                <w:szCs w:val="21"/>
                <w:highlight w:val="none"/>
                <w:lang w:val="en-US" w:eastAsia="zh-CN"/>
              </w:rPr>
              <w:t>运作</w:t>
            </w:r>
            <w:r>
              <w:rPr>
                <w:rFonts w:hint="eastAsia" w:ascii="楷体" w:hAnsi="楷体" w:eastAsia="楷体" w:cs="宋体"/>
                <w:b/>
                <w:spacing w:val="-2"/>
                <w:sz w:val="21"/>
                <w:szCs w:val="21"/>
                <w:highlight w:val="none"/>
              </w:rPr>
              <w:t>期</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本产品募集结束后封闭运作两周（2018年8月30日至2018年9月12日），自2018年9月13日起开放申购/赎回。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本理财产品存续期间，每个工作日为开放日（T日），管理人仅在工作日对投资者的申购、赎回申请进行确认。管理人有权根据资产运作情况、节假日安排调整开放日，并在调整前进行公告。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default"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hint="eastAsia"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lang w:val="en-US" w:eastAsia="zh-CN"/>
              </w:rPr>
              <w:t>A/代发专享/E/DG/DG2/DG3/K</w:t>
            </w:r>
            <w:r>
              <w:rPr>
                <w:rFonts w:hint="eastAsia" w:ascii="楷体" w:hAnsi="楷体" w:eastAsia="楷体" w:cs="宋体"/>
                <w:spacing w:val="-2"/>
                <w:sz w:val="21"/>
                <w:szCs w:val="21"/>
                <w:highlight w:val="none"/>
              </w:rPr>
              <w:t>份额</w:t>
            </w:r>
            <w:r>
              <w:rPr>
                <w:rFonts w:hint="eastAsia" w:ascii="楷体" w:hAnsi="楷体" w:eastAsia="楷体" w:cs="宋体"/>
                <w:spacing w:val="-2"/>
                <w:sz w:val="21"/>
                <w:szCs w:val="21"/>
                <w:highlight w:val="none"/>
                <w:lang w:val="en-US" w:eastAsia="zh-CN"/>
              </w:rPr>
              <w:t>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w:t>
            </w:r>
            <w:r>
              <w:rPr>
                <w:rFonts w:hint="eastAsia" w:ascii="楷体" w:hAnsi="楷体" w:eastAsia="楷体" w:cs="宋体"/>
                <w:spacing w:val="-2"/>
                <w:sz w:val="21"/>
                <w:szCs w:val="21"/>
                <w:highlight w:val="none"/>
                <w:lang w:val="en-US" w:eastAsia="zh-CN"/>
              </w:rPr>
              <w:t>A/代发专享/E/DG/DG2/DG3/K</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快速赎回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highlight w:val="none"/>
                <w:u w:val="single"/>
              </w:rPr>
            </w:pPr>
            <w:r>
              <w:rPr>
                <w:rFonts w:hint="eastAsia" w:ascii="楷体" w:hAnsi="楷体" w:eastAsia="楷体" w:cs="宋体"/>
                <w:b/>
                <w:bCs/>
                <w:spacing w:val="-2"/>
                <w:szCs w:val="21"/>
                <w:highlight w:val="none"/>
                <w:u w:val="single"/>
              </w:rPr>
              <w:t xml:space="preserve">本产品销售机构可为投资者提供 </w:t>
            </w:r>
            <w:r>
              <w:rPr>
                <w:rFonts w:ascii="楷体" w:hAnsi="楷体" w:eastAsia="楷体" w:cs="宋体"/>
                <w:b/>
                <w:bCs/>
                <w:spacing w:val="-2"/>
                <w:szCs w:val="21"/>
                <w:highlight w:val="none"/>
                <w:u w:val="single"/>
              </w:rPr>
              <w:t>“快速赎回”增值服务，客户可通过</w:t>
            </w:r>
            <w:r>
              <w:rPr>
                <w:rFonts w:hint="eastAsia" w:ascii="楷体" w:hAnsi="楷体" w:eastAsia="楷体" w:cs="宋体"/>
                <w:b/>
                <w:bCs/>
                <w:spacing w:val="-2"/>
                <w:szCs w:val="21"/>
                <w:highlight w:val="none"/>
                <w:u w:val="single"/>
              </w:rPr>
              <w:t>销售机构</w:t>
            </w:r>
            <w:r>
              <w:rPr>
                <w:rFonts w:ascii="楷体" w:hAnsi="楷体" w:eastAsia="楷体" w:cs="宋体"/>
                <w:b/>
                <w:bCs/>
                <w:spacing w:val="-2"/>
                <w:szCs w:val="21"/>
                <w:highlight w:val="none"/>
                <w:u w:val="single"/>
              </w:rPr>
              <w:t>渠道进行快速赎回，如无特殊情况，</w:t>
            </w:r>
            <w:r>
              <w:rPr>
                <w:rFonts w:hint="eastAsia" w:ascii="楷体" w:hAnsi="楷体" w:eastAsia="楷体" w:cs="宋体"/>
                <w:b/>
                <w:bCs/>
                <w:spacing w:val="-2"/>
                <w:szCs w:val="21"/>
                <w:highlight w:val="none"/>
                <w:u w:val="single"/>
              </w:rPr>
              <w:t>快速</w:t>
            </w:r>
            <w:r>
              <w:rPr>
                <w:rFonts w:ascii="楷体" w:hAnsi="楷体" w:eastAsia="楷体" w:cs="宋体"/>
                <w:b/>
                <w:bCs/>
                <w:spacing w:val="-2"/>
                <w:szCs w:val="21"/>
                <w:highlight w:val="none"/>
                <w:u w:val="single"/>
              </w:rPr>
              <w:t>赎回资金将于赎回申请日当日到账。</w:t>
            </w:r>
            <w:r>
              <w:rPr>
                <w:rFonts w:hint="eastAsia" w:ascii="楷体" w:hAnsi="楷体" w:eastAsia="楷体" w:cs="宋体"/>
                <w:bCs/>
                <w:spacing w:val="-2"/>
                <w:szCs w:val="21"/>
                <w:highlight w:val="none"/>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highlight w:val="none"/>
                <w:u w:val="single"/>
              </w:rPr>
              <w:t>每</w:t>
            </w:r>
            <w:r>
              <w:rPr>
                <w:rFonts w:hint="eastAsia" w:ascii="楷体" w:hAnsi="楷体" w:eastAsia="楷体" w:cs="宋体"/>
                <w:b/>
                <w:bCs/>
                <w:spacing w:val="-2"/>
                <w:szCs w:val="21"/>
                <w:highlight w:val="none"/>
                <w:u w:val="single"/>
                <w:lang w:val="en-US" w:eastAsia="zh-CN"/>
              </w:rPr>
              <w:t>只</w:t>
            </w:r>
            <w:r>
              <w:rPr>
                <w:rFonts w:hint="eastAsia" w:ascii="楷体" w:hAnsi="楷体" w:eastAsia="楷体" w:cs="宋体"/>
                <w:b/>
                <w:bCs/>
                <w:spacing w:val="-2"/>
                <w:szCs w:val="21"/>
                <w:highlight w:val="none"/>
                <w:u w:val="single"/>
              </w:rPr>
              <w:t>产品每个自然日</w:t>
            </w:r>
            <w:r>
              <w:rPr>
                <w:rFonts w:hint="eastAsia" w:ascii="楷体" w:hAnsi="楷体" w:eastAsia="楷体" w:cs="宋体"/>
                <w:b/>
                <w:bCs/>
                <w:spacing w:val="-2"/>
                <w:szCs w:val="21"/>
                <w:highlight w:val="none"/>
                <w:u w:val="single"/>
                <w:lang w:val="en-US" w:eastAsia="zh-CN"/>
              </w:rPr>
              <w:t>单个销售渠道</w:t>
            </w:r>
            <w:r>
              <w:rPr>
                <w:rFonts w:hint="eastAsia" w:ascii="楷体" w:hAnsi="楷体" w:eastAsia="楷体" w:cs="宋体"/>
                <w:b/>
                <w:bCs/>
                <w:spacing w:val="-2"/>
                <w:szCs w:val="21"/>
                <w:highlight w:val="none"/>
                <w:u w:val="single"/>
              </w:rPr>
              <w:t>为客户提供的</w:t>
            </w:r>
            <w:r>
              <w:rPr>
                <w:rFonts w:ascii="楷体" w:hAnsi="楷体" w:eastAsia="楷体" w:cs="宋体"/>
                <w:b/>
                <w:bCs/>
                <w:spacing w:val="-2"/>
                <w:szCs w:val="21"/>
                <w:highlight w:val="none"/>
                <w:u w:val="single"/>
              </w:rPr>
              <w:t>“快速赎回”</w:t>
            </w:r>
            <w:r>
              <w:rPr>
                <w:rFonts w:hint="eastAsia" w:ascii="楷体" w:hAnsi="楷体" w:eastAsia="楷体" w:cs="宋体"/>
                <w:b/>
                <w:bCs/>
                <w:spacing w:val="-2"/>
                <w:szCs w:val="21"/>
                <w:highlight w:val="none"/>
                <w:u w:val="single"/>
              </w:rPr>
              <w:t>限额为</w:t>
            </w:r>
            <w:r>
              <w:rPr>
                <w:rFonts w:ascii="楷体" w:hAnsi="楷体" w:eastAsia="楷体" w:cs="宋体"/>
                <w:b/>
                <w:bCs/>
                <w:spacing w:val="-2"/>
                <w:szCs w:val="21"/>
                <w:highlight w:val="none"/>
                <w:u w:val="single"/>
              </w:rPr>
              <w:t>1万元</w:t>
            </w:r>
            <w:r>
              <w:rPr>
                <w:rFonts w:hint="eastAsia" w:ascii="楷体" w:hAnsi="楷体" w:eastAsia="楷体" w:cs="宋体"/>
                <w:b/>
                <w:bCs/>
                <w:spacing w:val="-2"/>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暂缓赎回</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bCs/>
                <w:spacing w:val="-2"/>
                <w:szCs w:val="21"/>
                <w:highlight w:val="none"/>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w:t>
            </w:r>
            <w:r>
              <w:rPr>
                <w:rFonts w:hint="eastAsia" w:ascii="楷体" w:hAnsi="楷体" w:eastAsia="楷体" w:cs="宋体"/>
                <w:b/>
                <w:spacing w:val="-2"/>
                <w:szCs w:val="21"/>
                <w:highlight w:val="none"/>
                <w:u w:val="single"/>
                <w:lang w:val="en-US" w:eastAsia="zh-CN"/>
              </w:rPr>
              <w:t>份额</w:t>
            </w:r>
            <w:r>
              <w:rPr>
                <w:rFonts w:hint="eastAsia" w:ascii="楷体" w:hAnsi="楷体" w:eastAsia="楷体" w:cs="宋体"/>
                <w:b/>
                <w:spacing w:val="-2"/>
                <w:szCs w:val="21"/>
                <w:highlight w:val="none"/>
                <w:u w:val="single"/>
                <w:lang w:eastAsia="zh-CN"/>
              </w:rPr>
              <w:t>（</w:t>
            </w:r>
            <w:r>
              <w:rPr>
                <w:rFonts w:hint="eastAsia" w:ascii="楷体" w:hAnsi="楷体" w:eastAsia="楷体" w:cs="宋体"/>
                <w:b/>
                <w:spacing w:val="-2"/>
                <w:szCs w:val="21"/>
                <w:highlight w:val="none"/>
                <w:u w:val="single"/>
                <w:lang w:val="en-US" w:eastAsia="zh-CN"/>
              </w:rPr>
              <w:t>示例：客户当日申请赎回份额5万份，当日全部赎回申请1亿份，假设前一日存续份额5亿份，发生巨额赎回，管理人当日办理的赎回份额5000万份，则客户当日确认办理的份额为5/10000*5000=2.5万份）</w:t>
            </w:r>
            <w:r>
              <w:rPr>
                <w:rFonts w:hint="eastAsia" w:ascii="楷体" w:hAnsi="楷体" w:eastAsia="楷体" w:cs="宋体"/>
                <w:b/>
                <w:spacing w:val="-2"/>
                <w:szCs w:val="21"/>
                <w:highlight w:val="none"/>
                <w:u w:val="single"/>
              </w:rPr>
              <w:t>。</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w:t>
            </w:r>
            <w:r>
              <w:rPr>
                <w:rFonts w:hint="eastAsia" w:ascii="楷体" w:hAnsi="楷体" w:eastAsia="楷体" w:cs="宋体"/>
                <w:b/>
                <w:spacing w:val="-2"/>
                <w:szCs w:val="21"/>
                <w:highlight w:val="none"/>
                <w:u w:val="single"/>
                <w:lang w:val="en-US" w:eastAsia="zh-CN"/>
              </w:rPr>
              <w:t>销售</w:t>
            </w:r>
            <w:r>
              <w:rPr>
                <w:rFonts w:hint="eastAsia" w:ascii="楷体" w:hAnsi="楷体" w:eastAsia="楷体" w:cs="宋体"/>
                <w:b/>
                <w:spacing w:val="-2"/>
                <w:szCs w:val="21"/>
                <w:highlight w:val="none"/>
                <w:u w:val="single"/>
              </w:rPr>
              <w:t>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highlight w:val="none"/>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业绩比较基准（年化）</w:t>
            </w:r>
          </w:p>
        </w:tc>
        <w:tc>
          <w:tcPr>
            <w:tcW w:w="6795" w:type="dxa"/>
            <w:vAlign w:val="center"/>
          </w:tcPr>
          <w:p>
            <w:pPr>
              <w:pStyle w:val="36"/>
              <w:spacing w:before="37" w:line="273" w:lineRule="auto"/>
              <w:ind w:left="42" w:leftChars="20" w:right="115" w:rightChars="55"/>
              <w:rPr>
                <w:rFonts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收益水平，在产品说明书约定的投资范围和投资比例内模拟测算得出</w:t>
            </w:r>
            <w:r>
              <w:rPr>
                <w:rFonts w:hint="eastAsia" w:ascii="楷体" w:hAnsi="楷体" w:eastAsia="楷体" w:cs="宋体"/>
                <w:spacing w:val="-2"/>
                <w:sz w:val="21"/>
                <w:szCs w:val="21"/>
                <w:highlight w:val="none"/>
              </w:rPr>
              <w:t>）。</w:t>
            </w:r>
          </w:p>
          <w:p>
            <w:pPr>
              <w:ind w:left="42" w:leftChars="20" w:right="115" w:rightChars="55"/>
              <w:rPr>
                <w:rFonts w:hint="eastAsia" w:ascii="楷体" w:hAnsi="楷体" w:eastAsia="楷体" w:cs="宋体"/>
                <w:spacing w:val="-2"/>
                <w:szCs w:val="21"/>
                <w:highlight w:val="none"/>
              </w:rPr>
            </w:pPr>
            <w:r>
              <w:rPr>
                <w:rFonts w:hint="eastAsia" w:ascii="楷体" w:hAnsi="楷体" w:eastAsia="楷体" w:cs="宋体"/>
                <w:b/>
                <w:spacing w:val="-2"/>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rPr>
              <w:t>产品费用</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本产品费用包括托管费、销售服务费、投资管理费以及产品运作和清算中产生的其他费用等。</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1．托管费率：0.</w:t>
            </w:r>
            <w:r>
              <w:rPr>
                <w:rFonts w:ascii="楷体" w:hAnsi="楷体" w:eastAsia="楷体" w:cs="宋体"/>
                <w:spacing w:val="-2"/>
                <w:szCs w:val="21"/>
                <w:highlight w:val="none"/>
              </w:rPr>
              <w:t>02</w:t>
            </w:r>
            <w:r>
              <w:rPr>
                <w:rFonts w:hint="eastAsia" w:ascii="楷体" w:hAnsi="楷体" w:eastAsia="楷体" w:cs="宋体"/>
                <w:spacing w:val="-2"/>
                <w:szCs w:val="21"/>
                <w:highlight w:val="none"/>
              </w:rPr>
              <w:t>%/年；</w:t>
            </w:r>
          </w:p>
          <w:p>
            <w:pPr>
              <w:keepNext w:val="0"/>
              <w:keepLines w:val="0"/>
              <w:pageBreakBefore w:val="0"/>
              <w:widowControl w:val="0"/>
              <w:wordWrap/>
              <w:topLinePunct w:val="0"/>
              <w:bidi w:val="0"/>
              <w:snapToGrid/>
              <w:spacing w:before="12"/>
              <w:ind w:left="42" w:leftChars="20" w:right="115" w:rightChars="55"/>
              <w:textAlignment w:val="auto"/>
              <w:rPr>
                <w:rFonts w:hint="default" w:ascii="楷体" w:hAnsi="楷体" w:eastAsia="楷体" w:cs="宋体"/>
                <w:spacing w:val="-2"/>
                <w:szCs w:val="21"/>
                <w:highlight w:val="none"/>
                <w:lang w:val="en-US" w:eastAsia="zh-CN"/>
              </w:rPr>
            </w:pPr>
            <w:r>
              <w:rPr>
                <w:rFonts w:hint="eastAsia" w:ascii="楷体" w:hAnsi="楷体" w:eastAsia="楷体" w:cs="宋体"/>
                <w:spacing w:val="-2"/>
                <w:szCs w:val="21"/>
                <w:highlight w:val="none"/>
              </w:rPr>
              <w:t>2．销售服务费率：</w:t>
            </w:r>
            <w:r>
              <w:rPr>
                <w:rFonts w:hint="eastAsia" w:ascii="楷体" w:hAnsi="楷体" w:eastAsia="楷体" w:cs="宋体"/>
                <w:spacing w:val="-2"/>
                <w:szCs w:val="21"/>
                <w:highlight w:val="none"/>
                <w:lang w:val="en-US" w:eastAsia="zh-CN"/>
              </w:rPr>
              <w:t>A/代发专享/DG/</w:t>
            </w:r>
            <w:r>
              <w:rPr>
                <w:rFonts w:hint="eastAsia" w:ascii="楷体" w:hAnsi="楷体" w:eastAsia="楷体" w:cs="宋体"/>
                <w:spacing w:val="-2"/>
                <w:szCs w:val="21"/>
                <w:highlight w:val="none"/>
                <w:lang w:eastAsia="zh-CN"/>
              </w:rPr>
              <w:t>E</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lang w:eastAsia="zh-CN"/>
              </w:rPr>
              <w:t>H</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rPr>
              <w:t>F</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rPr>
              <w:t>G</w:t>
            </w:r>
            <w:r>
              <w:rPr>
                <w:rFonts w:hint="eastAsia" w:ascii="楷体" w:hAnsi="楷体" w:eastAsia="楷体" w:cs="宋体"/>
                <w:spacing w:val="-2"/>
                <w:szCs w:val="21"/>
                <w:highlight w:val="none"/>
                <w:lang w:val="en-US" w:eastAsia="zh-CN"/>
              </w:rPr>
              <w:t>/X/S/DG2/DG3/K份额均为</w:t>
            </w:r>
            <w:r>
              <w:rPr>
                <w:rFonts w:hint="eastAsia" w:ascii="楷体" w:hAnsi="楷体" w:eastAsia="楷体" w:cs="宋体"/>
                <w:spacing w:val="-2"/>
                <w:szCs w:val="21"/>
                <w:highlight w:val="none"/>
              </w:rPr>
              <w:t>0.</w:t>
            </w:r>
            <w:r>
              <w:rPr>
                <w:rFonts w:ascii="楷体" w:hAnsi="楷体" w:eastAsia="楷体" w:cs="宋体"/>
                <w:spacing w:val="-2"/>
                <w:szCs w:val="21"/>
                <w:highlight w:val="none"/>
              </w:rPr>
              <w:t>20%/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val="en-US" w:eastAsia="zh-CN"/>
              </w:rPr>
              <w:t>W/WS份额为0.40%/年；J份额为0.30%/年。</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spacing w:val="-2"/>
                <w:szCs w:val="21"/>
                <w:highlight w:val="none"/>
                <w:lang w:val="en-US" w:eastAsia="zh-CN"/>
              </w:rPr>
            </w:pPr>
            <w:r>
              <w:rPr>
                <w:rFonts w:hint="eastAsia" w:ascii="楷体" w:hAnsi="楷体" w:eastAsia="楷体" w:cs="宋体"/>
                <w:spacing w:val="-2"/>
                <w:szCs w:val="21"/>
                <w:highlight w:val="none"/>
              </w:rPr>
              <w:t>3．投资管理费</w:t>
            </w:r>
            <w:r>
              <w:rPr>
                <w:rFonts w:hint="eastAsia" w:ascii="楷体" w:hAnsi="楷体" w:eastAsia="楷体" w:cs="宋体"/>
                <w:spacing w:val="-2"/>
                <w:szCs w:val="21"/>
                <w:highlight w:val="none"/>
                <w:lang w:val="en-US" w:eastAsia="zh-CN"/>
              </w:rPr>
              <w:t>率A/代发专享/</w:t>
            </w:r>
            <w:r>
              <w:rPr>
                <w:rFonts w:hint="eastAsia" w:ascii="楷体" w:hAnsi="楷体" w:eastAsia="楷体" w:cs="宋体"/>
                <w:spacing w:val="-2"/>
                <w:szCs w:val="21"/>
                <w:highlight w:val="none"/>
                <w:lang w:eastAsia="zh-CN"/>
              </w:rPr>
              <w:t>E</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lang w:eastAsia="zh-CN"/>
              </w:rPr>
              <w:t>H</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rPr>
              <w:t>F</w:t>
            </w:r>
            <w:r>
              <w:rPr>
                <w:rFonts w:hint="eastAsia" w:ascii="楷体" w:hAnsi="楷体" w:eastAsia="楷体" w:cs="宋体"/>
                <w:spacing w:val="-2"/>
                <w:szCs w:val="21"/>
                <w:highlight w:val="none"/>
                <w:lang w:val="en-US" w:eastAsia="zh-CN"/>
              </w:rPr>
              <w:t>/</w:t>
            </w:r>
            <w:r>
              <w:rPr>
                <w:rFonts w:hint="eastAsia" w:ascii="楷体" w:hAnsi="楷体" w:eastAsia="楷体" w:cs="宋体"/>
                <w:spacing w:val="-2"/>
                <w:szCs w:val="21"/>
                <w:highlight w:val="none"/>
              </w:rPr>
              <w:t>G</w:t>
            </w:r>
            <w:r>
              <w:rPr>
                <w:rFonts w:hint="eastAsia" w:ascii="楷体" w:hAnsi="楷体" w:eastAsia="楷体" w:cs="宋体"/>
                <w:spacing w:val="-2"/>
                <w:szCs w:val="21"/>
                <w:highlight w:val="none"/>
                <w:lang w:val="en-US" w:eastAsia="zh-CN"/>
              </w:rPr>
              <w:t>/W/X/S/J/DG2/WS/DG3/K</w:t>
            </w:r>
            <w:r>
              <w:rPr>
                <w:rFonts w:hint="eastAsia" w:ascii="楷体" w:hAnsi="楷体" w:eastAsia="楷体" w:cs="宋体"/>
                <w:spacing w:val="-2"/>
                <w:szCs w:val="21"/>
                <w:highlight w:val="none"/>
              </w:rPr>
              <w:t>份额</w:t>
            </w:r>
            <w:r>
              <w:rPr>
                <w:rFonts w:hint="eastAsia" w:ascii="楷体" w:hAnsi="楷体" w:eastAsia="楷体" w:cs="宋体"/>
                <w:spacing w:val="-2"/>
                <w:szCs w:val="21"/>
                <w:highlight w:val="none"/>
                <w:lang w:val="en-US" w:eastAsia="zh-CN"/>
              </w:rPr>
              <w:t>均为</w:t>
            </w:r>
            <w:r>
              <w:rPr>
                <w:rFonts w:hint="eastAsia" w:ascii="楷体" w:hAnsi="楷体" w:eastAsia="楷体" w:cs="宋体"/>
                <w:spacing w:val="-2"/>
                <w:szCs w:val="21"/>
                <w:highlight w:val="none"/>
              </w:rPr>
              <w:t>0</w:t>
            </w:r>
            <w:r>
              <w:rPr>
                <w:rFonts w:ascii="楷体" w:hAnsi="楷体" w:eastAsia="楷体" w:cs="宋体"/>
                <w:spacing w:val="-2"/>
                <w:szCs w:val="21"/>
                <w:highlight w:val="none"/>
              </w:rPr>
              <w:t>.50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val="en-US" w:eastAsia="zh-CN"/>
              </w:rPr>
              <w:t>;DG</w:t>
            </w:r>
            <w:r>
              <w:rPr>
                <w:rFonts w:hint="eastAsia" w:ascii="楷体" w:hAnsi="楷体" w:eastAsia="楷体" w:cs="宋体"/>
                <w:spacing w:val="-2"/>
                <w:szCs w:val="21"/>
                <w:highlight w:val="none"/>
              </w:rPr>
              <w:t>份额</w:t>
            </w:r>
            <w:r>
              <w:rPr>
                <w:rFonts w:hint="eastAsia" w:ascii="楷体" w:hAnsi="楷体" w:eastAsia="楷体" w:cs="宋体"/>
                <w:spacing w:val="-2"/>
                <w:szCs w:val="21"/>
                <w:highlight w:val="none"/>
                <w:lang w:val="en-US" w:eastAsia="zh-CN"/>
              </w:rPr>
              <w:t>为</w:t>
            </w:r>
            <w:r>
              <w:rPr>
                <w:rFonts w:hint="eastAsia" w:ascii="楷体" w:hAnsi="楷体" w:eastAsia="楷体" w:cs="宋体"/>
                <w:spacing w:val="-2"/>
                <w:szCs w:val="21"/>
                <w:highlight w:val="none"/>
              </w:rPr>
              <w:t>0.</w:t>
            </w:r>
            <w:r>
              <w:rPr>
                <w:rFonts w:ascii="楷体" w:hAnsi="楷体" w:eastAsia="楷体" w:cs="宋体"/>
                <w:spacing w:val="-2"/>
                <w:szCs w:val="21"/>
                <w:highlight w:val="none"/>
              </w:rPr>
              <w:t>80%/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eastAsia="zh-CN"/>
              </w:rPr>
              <w:t>。</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b/>
                <w:bCs/>
                <w:spacing w:val="-2"/>
                <w:szCs w:val="21"/>
                <w:highlight w:val="none"/>
                <w:u w:val="single"/>
              </w:rPr>
              <w:t>4</w:t>
            </w:r>
            <w:r>
              <w:rPr>
                <w:rFonts w:ascii="楷体" w:hAnsi="楷体" w:eastAsia="楷体" w:cs="宋体"/>
                <w:b/>
                <w:spacing w:val="-2"/>
                <w:szCs w:val="21"/>
                <w:highlight w:val="none"/>
                <w:u w:val="single"/>
              </w:rPr>
              <w:t>.强制赎回费</w:t>
            </w:r>
            <w:r>
              <w:rPr>
                <w:rFonts w:hint="eastAsia" w:ascii="楷体" w:hAnsi="楷体" w:eastAsia="楷体" w:cs="宋体"/>
                <w:spacing w:val="-2"/>
                <w:szCs w:val="21"/>
                <w:highlight w:val="none"/>
              </w:rPr>
              <w:t>：</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（1）</w:t>
            </w:r>
            <w:r>
              <w:rPr>
                <w:rFonts w:hint="eastAsia" w:ascii="楷体" w:hAnsi="楷体" w:eastAsia="楷体" w:cs="宋体"/>
                <w:b/>
                <w:spacing w:val="-2"/>
                <w:szCs w:val="21"/>
                <w:highlight w:val="none"/>
                <w:u w:val="single"/>
              </w:rPr>
              <w:t>在满足相关流动性风险管理要求的前提下，当本产品持有的现金、国债、中央银行票据、政策性金融债券以及</w:t>
            </w:r>
            <w:r>
              <w:rPr>
                <w:rFonts w:ascii="楷体" w:hAnsi="楷体" w:eastAsia="楷体" w:cs="宋体"/>
                <w:b/>
                <w:spacing w:val="-2"/>
                <w:szCs w:val="21"/>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highlight w:val="none"/>
              </w:rPr>
              <w:t>管理人与托管人协商确认上述做法无益于本产品利益最大化的情形除外。</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highlight w:val="none"/>
                <w:u w:val="single"/>
              </w:rPr>
              <w:t>管理人有权对投资者超过本产品总份额</w:t>
            </w:r>
            <w:r>
              <w:rPr>
                <w:rFonts w:ascii="楷体" w:hAnsi="楷体" w:eastAsia="楷体" w:cs="宋体"/>
                <w:b/>
                <w:spacing w:val="-2"/>
                <w:szCs w:val="21"/>
                <w:highlight w:val="none"/>
                <w:u w:val="single"/>
              </w:rPr>
              <w:t>1%以上的赎回申请征收1%的强制赎回费用。</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法律法规或监管机构另有规定的，从其规定。产品存续期内苏银理财可对产品费用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highlight w:val="none"/>
              </w:rPr>
              <w:t>，实际收取标准以管理人公告为准。</w:t>
            </w:r>
            <w:r>
              <w:rPr>
                <w:rFonts w:ascii="楷体" w:hAnsi="楷体" w:eastAsia="楷体" w:cs="宋体"/>
                <w:spacing w:val="-2"/>
                <w:szCs w:val="21"/>
                <w:highlight w:val="none"/>
              </w:rPr>
              <w:t>详见下文</w:t>
            </w:r>
            <w:r>
              <w:rPr>
                <w:rFonts w:hint="eastAsia" w:ascii="楷体" w:hAnsi="楷体" w:eastAsia="楷体" w:cs="宋体"/>
                <w:spacing w:val="-2"/>
                <w:szCs w:val="21"/>
                <w:highlight w:val="none"/>
              </w:rPr>
              <w:t>“十</w:t>
            </w:r>
            <w:r>
              <w:rPr>
                <w:rFonts w:hint="eastAsia" w:ascii="楷体" w:hAnsi="楷体" w:eastAsia="楷体" w:cs="宋体"/>
                <w:spacing w:val="-2"/>
                <w:szCs w:val="21"/>
                <w:highlight w:val="none"/>
                <w:lang w:val="en-US" w:eastAsia="zh-CN"/>
              </w:rPr>
              <w:t>一</w:t>
            </w:r>
            <w:r>
              <w:rPr>
                <w:rFonts w:hint="eastAsia" w:ascii="楷体" w:hAnsi="楷体" w:eastAsia="楷体" w:cs="宋体"/>
                <w:spacing w:val="-2"/>
                <w:szCs w:val="21"/>
                <w:highlight w:val="none"/>
              </w:rPr>
              <w:t>、产品费用”。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估值日</w:t>
            </w:r>
          </w:p>
        </w:tc>
        <w:tc>
          <w:tcPr>
            <w:tcW w:w="6795" w:type="dxa"/>
            <w:tcBorders>
              <w:bottom w:val="single" w:color="auto" w:sz="4" w:space="0"/>
            </w:tcBorders>
            <w:vAlign w:val="center"/>
          </w:tcPr>
          <w:p>
            <w:pPr>
              <w:keepNext w:val="0"/>
              <w:keepLines w:val="0"/>
              <w:pageBreakBefore w:val="0"/>
              <w:widowControl w:val="0"/>
              <w:wordWrap/>
              <w:topLinePunct w:val="0"/>
              <w:bidi w:val="0"/>
              <w:snapToGrid/>
              <w:spacing w:before="12"/>
              <w:ind w:left="115"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本理财产品存续期内，每个工作日为估值日。管理人于估值日后第一个工作日公布理财产品份额收益率。详见下文“</w:t>
            </w:r>
            <w:r>
              <w:rPr>
                <w:rFonts w:hint="eastAsia" w:ascii="楷体" w:hAnsi="楷体" w:eastAsia="楷体" w:cs="宋体"/>
                <w:spacing w:val="-2"/>
                <w:szCs w:val="21"/>
                <w:highlight w:val="none"/>
                <w:lang w:eastAsia="zh-CN"/>
              </w:rPr>
              <w:t>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lang w:eastAsia="zh-CN"/>
              </w:rPr>
              <w:t>、产品估值</w:t>
            </w:r>
            <w:r>
              <w:rPr>
                <w:rFonts w:hint="eastAsia" w:ascii="楷体" w:hAnsi="楷体" w:eastAsia="楷体" w:cs="宋体"/>
                <w:spacing w:val="-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highlight w:val="none"/>
              </w:rPr>
            </w:pPr>
            <w:r>
              <w:rPr>
                <w:rFonts w:ascii="楷体" w:hAnsi="楷体" w:eastAsia="楷体" w:cs="宋体"/>
                <w:spacing w:val="-2"/>
                <w:szCs w:val="21"/>
                <w:highlight w:val="none"/>
              </w:rPr>
              <w:t>详见下文</w:t>
            </w:r>
            <w:r>
              <w:rPr>
                <w:rFonts w:hint="eastAsia" w:ascii="楷体" w:hAnsi="楷体" w:eastAsia="楷体" w:cs="宋体"/>
                <w:spacing w:val="-2"/>
                <w:szCs w:val="21"/>
                <w:highlight w:val="none"/>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w:t>
      </w:r>
      <w:r>
        <w:rPr>
          <w:rFonts w:hint="eastAsia" w:ascii="楷体" w:hAnsi="楷体" w:eastAsia="楷体" w:cs="Calibri"/>
          <w:sz w:val="24"/>
          <w:szCs w:val="24"/>
          <w:highlight w:val="none"/>
          <w:lang w:eastAsia="zh-CN"/>
        </w:rPr>
        <w:t>最低金额</w:t>
      </w:r>
      <w:r>
        <w:rPr>
          <w:rFonts w:ascii="楷体" w:hAnsi="楷体" w:eastAsia="楷体" w:cs="Calibri"/>
          <w:sz w:val="24"/>
          <w:szCs w:val="24"/>
          <w:highlight w:val="none"/>
        </w:rPr>
        <w:t>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highlight w:val="none"/>
          <w:u w:val="single"/>
        </w:rPr>
        <w:t>销售机构负责</w:t>
      </w:r>
      <w:r>
        <w:rPr>
          <w:rFonts w:ascii="楷体" w:hAnsi="楷体" w:eastAsia="楷体"/>
          <w:b/>
          <w:sz w:val="24"/>
          <w:szCs w:val="24"/>
          <w:highlight w:val="none"/>
          <w:u w:val="single"/>
        </w:rPr>
        <w:t>理财产品宣传推广、投资者风险承受能力评估和投资者适当性管理、理财产品客户身份识别及反洗钱</w:t>
      </w:r>
      <w:r>
        <w:rPr>
          <w:rFonts w:hint="eastAsia" w:ascii="楷体" w:hAnsi="楷体" w:eastAsia="楷体"/>
          <w:b/>
          <w:sz w:val="24"/>
          <w:szCs w:val="24"/>
          <w:highlight w:val="none"/>
          <w:u w:val="single"/>
        </w:rPr>
        <w:t>、反恐怖融资及非居民金融账户涉税信息</w:t>
      </w:r>
      <w:r>
        <w:rPr>
          <w:rFonts w:ascii="楷体" w:hAnsi="楷体" w:eastAsia="楷体"/>
          <w:b/>
          <w:sz w:val="24"/>
          <w:szCs w:val="24"/>
          <w:highlight w:val="none"/>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highlight w:val="none"/>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90"/>
        <w:gridCol w:w="3795"/>
        <w:gridCol w:w="3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trPr>
        <w:tc>
          <w:tcPr>
            <w:tcW w:w="7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highlight w:val="none"/>
                <w:u w:val="none"/>
              </w:rPr>
            </w:pPr>
            <w:r>
              <w:rPr>
                <w:rFonts w:hint="eastAsia" w:ascii="楷体" w:hAnsi="楷体" w:eastAsia="楷体" w:cs="楷体"/>
                <w:b/>
                <w:bCs/>
                <w:i w:val="0"/>
                <w:iCs w:val="0"/>
                <w:color w:val="000000"/>
                <w:kern w:val="0"/>
                <w:sz w:val="18"/>
                <w:szCs w:val="18"/>
                <w:highlight w:val="none"/>
                <w:u w:val="none"/>
                <w:lang w:val="en-US" w:eastAsia="zh-CN" w:bidi="ar"/>
              </w:rPr>
              <w:t>份额</w:t>
            </w:r>
          </w:p>
        </w:tc>
        <w:tc>
          <w:tcPr>
            <w:tcW w:w="424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highlight w:val="none"/>
                <w:u w:val="none"/>
              </w:rPr>
            </w:pPr>
            <w:r>
              <w:rPr>
                <w:rFonts w:hint="eastAsia" w:ascii="楷体" w:hAnsi="楷体" w:eastAsia="楷体" w:cs="楷体"/>
                <w:b/>
                <w:bCs/>
                <w:i w:val="0"/>
                <w:iCs w:val="0"/>
                <w:color w:val="000000"/>
                <w:kern w:val="0"/>
                <w:sz w:val="18"/>
                <w:szCs w:val="18"/>
                <w:highlight w:val="none"/>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vMerge w:val="restart"/>
            <w:tcBorders>
              <w:top w:val="single" w:color="auto" w:sz="4" w:space="0"/>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A份额</w:t>
            </w:r>
          </w:p>
        </w:tc>
        <w:tc>
          <w:tcPr>
            <w:tcW w:w="2226"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嘉兴银行股份有限公司</w:t>
            </w:r>
          </w:p>
        </w:tc>
        <w:tc>
          <w:tcPr>
            <w:tcW w:w="2016"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highlight w:val="none"/>
                <w:u w:val="none"/>
                <w:lang w:val="en-US" w:eastAsia="zh-CN"/>
              </w:rPr>
            </w:pPr>
          </w:p>
        </w:tc>
        <w:tc>
          <w:tcPr>
            <w:tcW w:w="2226"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上海农村商业银行股份有限公司</w:t>
            </w:r>
          </w:p>
        </w:tc>
        <w:tc>
          <w:tcPr>
            <w:tcW w:w="2016"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highlight w:val="none"/>
                <w:u w:val="none"/>
                <w:lang w:val="en-US"/>
              </w:rPr>
            </w:pPr>
            <w:r>
              <w:rPr>
                <w:rFonts w:hint="eastAsia" w:ascii="楷体" w:hAnsi="楷体" w:eastAsia="楷体" w:cs="楷体"/>
                <w:i w:val="0"/>
                <w:iCs w:val="0"/>
                <w:color w:val="000000"/>
                <w:kern w:val="0"/>
                <w:sz w:val="18"/>
                <w:szCs w:val="18"/>
                <w:highlight w:val="none"/>
                <w:u w:val="none"/>
                <w:lang w:val="en-US" w:eastAsia="zh-CN" w:bidi="ar"/>
              </w:rPr>
              <w:t>代发专享份额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E份额</w:t>
            </w:r>
          </w:p>
        </w:tc>
        <w:tc>
          <w:tcPr>
            <w:tcW w:w="2226"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威海市商业银行股份有限公司</w:t>
            </w:r>
          </w:p>
        </w:tc>
        <w:tc>
          <w:tcPr>
            <w:tcW w:w="2016"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DG份额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H份额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深圳前海微众银行股份有限公司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G份额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交通银行股份有限公司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F份额</w:t>
            </w:r>
          </w:p>
        </w:tc>
        <w:tc>
          <w:tcPr>
            <w:tcW w:w="2226"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江苏仪征农村商业银行股份有限公司</w:t>
            </w:r>
          </w:p>
        </w:tc>
        <w:tc>
          <w:tcPr>
            <w:tcW w:w="2016"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江苏靖江农村商业银行股份有限公司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江苏紫金农村商业银行股份有限公司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嘉兴银行股份有限公司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中邮邮惠万家银行有限责任公司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江苏盐城农村商业银行股份有限公司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宁波东海银行股份有限公司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华侨银行有限公司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江苏句容农村商业银行股份有限公司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交通银行股份有限公司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江苏东台农村商业银行股份有限公司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江苏姜堰农村商业银行股份有限公司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江苏邳州农村商业银行股份有限公司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江苏如东农村商业银行股份有限公司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杭州联合农村商业银行股份有限公司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浙江桐乡农村商业银行股份有限公司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上海银行股份有限公司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浙江嘉善农村商业银行股份有限公司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江苏淮安农村商业银行股份有限公司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浙江青田农村商业银行股份有限公司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江苏海安农村商业银行股份有限公司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威海市商业银行股份有限公司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莱商银行股份有限公司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浙江平湖农村商业银行股份有限公司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浙江建德农村商业银行股份有限公司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温州银行股份有限公司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江苏民丰农村商业银行股份有限公司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浙江绍兴瑞丰农村商业银行股份有限公司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浙江湖州吴兴农村商业银行股份有限公司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浙江岱山农村商业银行股份有限公司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浙江江山农村商业银行股份有限公司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浙江衢州衢江农村商业银行股份有限公司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浙江诸暨农村商业银行股份有限公司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浙江舟山定海海洋农村商业银行股份有限公司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浙江舟山普陀农村商业银行股份有限公司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浙江安吉农村商业银行股份有限公司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浙江上虞农村商业银行股份有限公司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山西银行股份有限公司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江苏金湖农村商业银行股份有限公司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江苏宝应农村商业银行股份有限公司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江苏沭阳农村商业银行股份有限公司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浙江新昌农村商业银行股份有限公司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江苏镇江农村商业银行股份有限公司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浙江苍南农村商业银行股份有限公司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徐州农村商业银行股份有限公司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江苏泗洪农村商业银行股份有限公司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江苏灌南农村商业银行股份有限公司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浙江萧山农村商业银行股份有限公司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江苏射阳农村商业银行股份有限公司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江苏泰州农村商业银行股份有限公司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江苏盱眙农村商业银行股份有限公司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浙江龙湾农村商业银行股份有限公司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浙江温州瓯海农村商业银行股份有限公司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p>
        </w:tc>
        <w:tc>
          <w:tcPr>
            <w:tcW w:w="2226"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江苏丰县农村商业银行股份有限公司</w:t>
            </w:r>
          </w:p>
        </w:tc>
        <w:tc>
          <w:tcPr>
            <w:tcW w:w="2016"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北京农村商业银行股份有限公司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W份额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浙江网商银行股份有限公司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X份额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S份额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深圳农村商业银行股份有限公司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齐鲁银行股份有限公司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J份额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北京农村商业银行股份有限公司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DG2份额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WS份额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浙江网商银行股份有限公司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DG3份额</w:t>
            </w:r>
          </w:p>
        </w:tc>
        <w:tc>
          <w:tcPr>
            <w:tcW w:w="2226"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江苏银行股份有限公司</w:t>
            </w:r>
          </w:p>
        </w:tc>
        <w:tc>
          <w:tcPr>
            <w:tcW w:w="2016"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756"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3795" w:type="dxa"/>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343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highlight w:val="none"/>
                <w:u w:val="none"/>
                <w:lang w:val="en-US" w:eastAsia="zh-CN"/>
              </w:rPr>
            </w:pPr>
          </w:p>
        </w:tc>
      </w:tr>
    </w:tbl>
    <w:p>
      <w:pPr>
        <w:ind w:firstLine="482" w:firstLineChars="200"/>
        <w:rPr>
          <w:rFonts w:ascii="楷体" w:hAnsi="楷体" w:eastAsia="楷体"/>
          <w:b/>
          <w:sz w:val="24"/>
          <w:szCs w:val="24"/>
          <w:highlight w:val="none"/>
          <w:u w:val="single"/>
        </w:rPr>
      </w:pP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投资合作机构</w:t>
      </w:r>
    </w:p>
    <w:p>
      <w:pPr>
        <w:numPr>
          <w:ilvl w:val="0"/>
          <w:numId w:val="0"/>
        </w:numPr>
        <w:tabs>
          <w:tab w:val="left" w:pos="1134"/>
        </w:tabs>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rPr>
            </w:pPr>
            <w:r>
              <w:rPr>
                <w:rFonts w:hint="eastAsia" w:ascii="楷体" w:hAnsi="楷体" w:eastAsia="楷体"/>
                <w:b w:val="0"/>
                <w:bCs w:val="0"/>
                <w:sz w:val="20"/>
                <w:szCs w:val="20"/>
                <w:highlight w:val="none"/>
              </w:rPr>
              <w:t>英大保险资产管理有限公司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highlight w:val="none"/>
                <w:vertAlign w:val="baseline"/>
              </w:rPr>
            </w:pPr>
            <w:r>
              <w:rPr>
                <w:rFonts w:hint="eastAsia" w:ascii="楷体" w:hAnsi="楷体" w:eastAsia="楷体"/>
                <w:b w:val="0"/>
                <w:bCs w:val="0"/>
                <w:sz w:val="20"/>
                <w:szCs w:val="20"/>
                <w:highlight w:val="none"/>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lang w:val="en-US" w:eastAsia="zh-CN"/>
              </w:rPr>
              <w:t>中国人保资产管理有限公司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rPr>
              <w:t>太平洋资产管理有限责任公司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rPr>
              <w:t>大家资产管理有限责任公司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lang w:val="en-US" w:eastAsia="zh-CN"/>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highlight w:val="none"/>
              </w:rPr>
            </w:pPr>
            <w:r>
              <w:rPr>
                <w:rFonts w:hint="eastAsia" w:ascii="楷体" w:hAnsi="楷体" w:eastAsia="楷体"/>
                <w:b w:val="0"/>
                <w:bCs w:val="0"/>
                <w:sz w:val="20"/>
                <w:szCs w:val="20"/>
                <w:highlight w:val="none"/>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b w:val="0"/>
                <w:bCs w:val="0"/>
                <w:sz w:val="20"/>
                <w:szCs w:val="20"/>
                <w:highlight w:val="none"/>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lang w:val="en-US" w:eastAsia="zh-CN" w:bidi="ar-SA"/>
              </w:rPr>
            </w:pPr>
            <w:r>
              <w:rPr>
                <w:rFonts w:hint="eastAsia" w:ascii="楷体" w:hAnsi="楷体" w:eastAsia="楷体" w:cs="Times New Roman"/>
                <w:b w:val="0"/>
                <w:bCs w:val="0"/>
                <w:sz w:val="20"/>
                <w:szCs w:val="20"/>
                <w:highlight w:val="none"/>
                <w:lang w:val="en-US" w:eastAsia="zh-CN"/>
              </w:rPr>
              <w:t xml:space="preserve">平安资产管理有限责任公司 </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lang w:val="en-US" w:eastAsia="zh-CN" w:bidi="ar-SA"/>
              </w:rPr>
            </w:pPr>
            <w:r>
              <w:rPr>
                <w:rFonts w:hint="eastAsia" w:ascii="楷体" w:hAnsi="楷体" w:eastAsia="楷体" w:cs="Times New Roman"/>
                <w:b w:val="0"/>
                <w:bCs w:val="0"/>
                <w:sz w:val="20"/>
                <w:szCs w:val="20"/>
                <w:highlight w:val="none"/>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highlight w:val="none"/>
                <w:lang w:val="en-US" w:eastAsia="zh-CN"/>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highlight w:val="none"/>
                <w:lang w:val="en-US" w:eastAsia="zh-CN"/>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lang w:val="en-US" w:eastAsia="zh-CN" w:bidi="ar-SA"/>
              </w:rPr>
            </w:pPr>
            <w:r>
              <w:rPr>
                <w:rFonts w:hint="eastAsia" w:ascii="楷体" w:hAnsi="楷体" w:eastAsia="楷体" w:cs="Times New Roman"/>
                <w:sz w:val="20"/>
                <w:szCs w:val="18"/>
              </w:rPr>
              <w:t>华润深国投信托有限公司</w:t>
            </w:r>
          </w:p>
        </w:tc>
        <w:tc>
          <w:tcPr>
            <w:tcW w:w="2919" w:type="pct"/>
            <w:noWrap w:val="0"/>
            <w:vAlign w:val="top"/>
          </w:tcPr>
          <w:p>
            <w:pPr>
              <w:spacing w:line="0" w:lineRule="atLeast"/>
              <w:jc w:val="left"/>
              <w:rPr>
                <w:rFonts w:hint="eastAsia" w:ascii="楷体" w:hAnsi="楷体" w:eastAsia="楷体" w:cs="Times New Roman"/>
                <w:kern w:val="2"/>
                <w:sz w:val="20"/>
                <w:szCs w:val="18"/>
                <w:lang w:val="en-US" w:eastAsia="zh-CN" w:bidi="ar-SA"/>
              </w:rPr>
            </w:pPr>
            <w:r>
              <w:rPr>
                <w:rFonts w:hint="eastAsia" w:ascii="楷体" w:hAnsi="楷体" w:eastAsia="楷体"/>
                <w:sz w:val="20"/>
                <w:szCs w:val="18"/>
                <w:highlight w:val="none"/>
              </w:rPr>
              <w:t>华润信托于1982年8月24日成立，原名为深圳市信托投资公司，注册资本人民币 5,813万元。目前，公司注册资本人民币110亿元，华润金控投资有限公司持有公司51%股权，深圳市投资控股有限公司持有公司49%股权。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sz w:val="20"/>
                <w:szCs w:val="18"/>
              </w:rPr>
            </w:pPr>
            <w:r>
              <w:rPr>
                <w:rFonts w:hint="eastAsia" w:ascii="楷体" w:hAnsi="楷体" w:eastAsia="楷体" w:cs="Times New Roman"/>
                <w:sz w:val="20"/>
                <w:szCs w:val="18"/>
              </w:rPr>
              <w:t>中粮信托有限责任公司</w:t>
            </w:r>
          </w:p>
        </w:tc>
        <w:tc>
          <w:tcPr>
            <w:tcW w:w="2919" w:type="pct"/>
            <w:noWrap w:val="0"/>
            <w:vAlign w:val="top"/>
          </w:tcPr>
          <w:p>
            <w:pPr>
              <w:spacing w:line="0" w:lineRule="atLeast"/>
              <w:jc w:val="left"/>
              <w:rPr>
                <w:rFonts w:hint="eastAsia" w:ascii="楷体" w:hAnsi="楷体" w:eastAsia="楷体"/>
                <w:sz w:val="20"/>
                <w:szCs w:val="18"/>
                <w:highlight w:val="none"/>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bl>
    <w:p>
      <w:pPr>
        <w:ind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rPr>
        <w:t>产品存续期内合作机构如有</w:t>
      </w:r>
      <w:r>
        <w:rPr>
          <w:rFonts w:hint="eastAsia" w:ascii="楷体" w:hAnsi="楷体" w:eastAsia="楷体"/>
          <w:sz w:val="24"/>
          <w:szCs w:val="24"/>
          <w:highlight w:val="none"/>
          <w:lang w:val="en-US" w:eastAsia="zh-CN"/>
        </w:rPr>
        <w:t>变化</w:t>
      </w:r>
      <w:r>
        <w:rPr>
          <w:rFonts w:hint="eastAsia" w:ascii="楷体" w:hAnsi="楷体" w:eastAsia="楷体"/>
          <w:sz w:val="24"/>
          <w:szCs w:val="24"/>
          <w:highlight w:val="none"/>
        </w:rPr>
        <w:t>，管理人将按照监管规定和内部管理制度要求对合作机构进行准入，签署相关协议后，发布新增投资合作机构公告</w:t>
      </w:r>
      <w:r>
        <w:rPr>
          <w:rFonts w:hint="eastAsia" w:ascii="楷体" w:hAnsi="楷体" w:eastAsia="楷体"/>
          <w:sz w:val="24"/>
          <w:szCs w:val="24"/>
          <w:highlight w:val="none"/>
          <w:lang w:eastAsia="zh-CN"/>
        </w:rPr>
        <w:t>。</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名词释义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参与主体用语</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本产品：指“苏银理财启源</w:t>
      </w:r>
      <w:r>
        <w:rPr>
          <w:rFonts w:hint="eastAsia" w:ascii="楷体" w:hAnsi="楷体" w:eastAsia="楷体" w:cs="Calibri"/>
          <w:sz w:val="24"/>
          <w:szCs w:val="24"/>
          <w:highlight w:val="none"/>
          <w:lang w:eastAsia="zh-CN"/>
        </w:rPr>
        <w:t>现金</w:t>
      </w:r>
      <w:r>
        <w:rPr>
          <w:rFonts w:hint="eastAsia" w:ascii="楷体" w:hAnsi="楷体" w:eastAsia="楷体" w:cs="Calibri"/>
          <w:sz w:val="24"/>
          <w:szCs w:val="24"/>
          <w:highlight w:val="none"/>
        </w:rPr>
        <w:t>1号”理财产品。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期间与日期</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工作日：</w:t>
      </w:r>
      <w:r>
        <w:rPr>
          <w:rFonts w:ascii="楷体" w:hAnsi="楷体" w:eastAsia="楷体" w:cs="Calibri"/>
          <w:b/>
          <w:sz w:val="24"/>
          <w:szCs w:val="24"/>
          <w:highlight w:val="none"/>
          <w:u w:val="single"/>
        </w:rPr>
        <w:t>指上海证券交易所和深圳证券交易所的正常</w:t>
      </w:r>
      <w:r>
        <w:rPr>
          <w:rFonts w:hint="eastAsia" w:ascii="楷体" w:hAnsi="楷体" w:eastAsia="楷体" w:cs="Calibri"/>
          <w:b/>
          <w:sz w:val="24"/>
          <w:szCs w:val="24"/>
          <w:highlight w:val="none"/>
          <w:u w:val="single"/>
          <w:lang w:val="en-US" w:eastAsia="zh-CN"/>
        </w:rPr>
        <w:t>开盘</w:t>
      </w:r>
      <w:r>
        <w:rPr>
          <w:rFonts w:ascii="楷体" w:hAnsi="楷体" w:eastAsia="楷体" w:cs="Calibri"/>
          <w:b/>
          <w:sz w:val="24"/>
          <w:szCs w:val="24"/>
          <w:highlight w:val="none"/>
          <w:u w:val="single"/>
        </w:rPr>
        <w:t>交易日</w:t>
      </w:r>
      <w:r>
        <w:rPr>
          <w:rFonts w:hint="eastAsia" w:ascii="楷体" w:hAnsi="楷体" w:eastAsia="楷体" w:cs="Calibri"/>
          <w:b/>
          <w:sz w:val="24"/>
          <w:szCs w:val="24"/>
          <w:highlight w:val="none"/>
          <w:u w:val="single"/>
        </w:rPr>
        <w:t>。</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w:t>
      </w:r>
      <w:r>
        <w:rPr>
          <w:rFonts w:hint="eastAsia" w:ascii="楷体" w:hAnsi="楷体" w:eastAsia="楷体" w:cs="Calibri"/>
          <w:sz w:val="24"/>
          <w:szCs w:val="24"/>
          <w:highlight w:val="none"/>
          <w:lang w:val="en-US" w:eastAsia="zh-CN"/>
        </w:rPr>
        <w:t>开盘</w:t>
      </w:r>
      <w:r>
        <w:rPr>
          <w:rFonts w:ascii="楷体" w:hAnsi="楷体" w:eastAsia="楷体" w:cs="Calibri"/>
          <w:sz w:val="24"/>
          <w:szCs w:val="24"/>
          <w:highlight w:val="none"/>
        </w:rPr>
        <w:t>交易日</w:t>
      </w:r>
      <w:r>
        <w:rPr>
          <w:rFonts w:hint="eastAsia" w:ascii="楷体" w:hAnsi="楷体" w:eastAsia="楷体" w:cs="Calibri"/>
          <w:sz w:val="24"/>
          <w:szCs w:val="24"/>
          <w:highlight w:val="none"/>
        </w:rPr>
        <w:t>。</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其他</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1"/>
          <w:numId w:val="0"/>
        </w:numPr>
        <w:tabs>
          <w:tab w:val="left" w:pos="728"/>
        </w:tabs>
        <w:ind w:left="0" w:leftChars="0" w:firstLine="408" w:firstLineChars="17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（5）网络系统遭受攻击、电信部门技术调整或故障等原因导致的服务中断和延迟等。</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风险评级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本理财产品经苏银理财内部风险评级为</w:t>
      </w:r>
      <w:r>
        <w:rPr>
          <w:rFonts w:hint="eastAsia" w:ascii="楷体" w:hAnsi="楷体" w:eastAsia="楷体"/>
          <w:b/>
          <w:sz w:val="24"/>
          <w:szCs w:val="24"/>
          <w:highlight w:val="none"/>
          <w:u w:val="single"/>
        </w:rPr>
        <w:t>★一级，适合低风险型投资者，适合投资策略为风险控制</w:t>
      </w:r>
      <w:r>
        <w:rPr>
          <w:rFonts w:hint="eastAsia" w:ascii="楷体" w:hAnsi="楷体" w:eastAsia="楷体"/>
          <w:b/>
          <w:sz w:val="24"/>
          <w:szCs w:val="24"/>
          <w:highlight w:val="none"/>
          <w:u w:val="single"/>
          <w:lang w:val="en-US" w:eastAsia="zh-CN"/>
        </w:rPr>
        <w:t>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highlight w:val="none"/>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ascii="楷体" w:hAnsi="楷体" w:eastAsia="楷体"/>
          <w:b/>
          <w:sz w:val="24"/>
          <w:szCs w:val="24"/>
          <w:highlight w:val="none"/>
          <w:u w:val="single"/>
        </w:rPr>
      </w:pPr>
      <w:r>
        <w:rPr>
          <w:rFonts w:hint="eastAsia" w:ascii="楷体" w:hAnsi="楷体" w:eastAsia="楷体"/>
          <w:sz w:val="24"/>
          <w:szCs w:val="24"/>
          <w:highlight w:val="none"/>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风险星级</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风险级别</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一级（PR1）</w:t>
            </w:r>
          </w:p>
        </w:tc>
        <w:tc>
          <w:tcPr>
            <w:tcW w:w="2268" w:type="dxa"/>
            <w:tcBorders>
              <w:bottom w:val="single" w:color="auto" w:sz="4" w:space="0"/>
            </w:tcBorders>
            <w:vAlign w:val="center"/>
          </w:tcPr>
          <w:p>
            <w:pPr>
              <w:autoSpaceDE w:val="0"/>
              <w:autoSpaceDN w:val="0"/>
              <w:adjustRightInd w:val="0"/>
              <w:jc w:val="center"/>
              <w:rPr>
                <w:rFonts w:hint="eastAsia" w:ascii="楷体" w:hAnsi="楷体" w:eastAsia="楷体" w:cs="浠垮畫"/>
                <w:b/>
                <w:bCs/>
                <w:kern w:val="0"/>
                <w:sz w:val="24"/>
                <w:szCs w:val="24"/>
                <w:highlight w:val="none"/>
                <w:lang w:val="en-US" w:eastAsia="zh-CN"/>
              </w:rPr>
            </w:pPr>
            <w:r>
              <w:rPr>
                <w:rFonts w:hint="eastAsia" w:ascii="楷体" w:hAnsi="楷体" w:eastAsia="楷体" w:cs="浠垮畫"/>
                <w:b/>
                <w:bCs/>
                <w:kern w:val="0"/>
                <w:sz w:val="24"/>
                <w:szCs w:val="24"/>
                <w:highlight w:val="none"/>
              </w:rPr>
              <w:t>低风险</w:t>
            </w:r>
            <w:r>
              <w:rPr>
                <w:rFonts w:hint="eastAsia" w:ascii="楷体" w:hAnsi="楷体" w:eastAsia="楷体" w:cs="浠垮畫"/>
                <w:b/>
                <w:bCs/>
                <w:kern w:val="0"/>
                <w:sz w:val="24"/>
                <w:szCs w:val="24"/>
                <w:highlight w:val="none"/>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四级（PR4）</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五级（PR5）</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风险承受</w:t>
            </w:r>
          </w:p>
        </w:tc>
      </w:tr>
    </w:tbl>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投资管理</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投资范围和比例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 w:val="24"/>
          <w:szCs w:val="24"/>
          <w:highlight w:val="none"/>
        </w:rPr>
        <w:t>397天以内（含397天）的债券、</w:t>
      </w:r>
      <w:r>
        <w:rPr>
          <w:rFonts w:hint="eastAsia" w:ascii="楷体" w:hAnsi="楷体" w:eastAsia="楷体"/>
          <w:sz w:val="24"/>
          <w:szCs w:val="24"/>
          <w:highlight w:val="none"/>
        </w:rPr>
        <w:t>在银行间市场和证券交易所市场发行的资产支持证券</w:t>
      </w:r>
      <w:r>
        <w:rPr>
          <w:rFonts w:hint="eastAsia" w:ascii="楷体" w:hAnsi="楷体" w:eastAsia="楷体"/>
          <w:sz w:val="24"/>
          <w:szCs w:val="24"/>
          <w:highlight w:val="none"/>
          <w:lang w:eastAsia="zh-CN"/>
        </w:rPr>
        <w:t>；</w:t>
      </w:r>
      <w:r>
        <w:rPr>
          <w:rFonts w:hint="eastAsia" w:ascii="楷体" w:hAnsi="楷体" w:eastAsia="楷体"/>
          <w:sz w:val="24"/>
          <w:szCs w:val="24"/>
          <w:highlight w:val="none"/>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非因管理人主观因素导致突破前述比例限制的，管理人将在流动性受限资产可出售、可转让或者恢复交易的</w:t>
      </w:r>
      <w:r>
        <w:rPr>
          <w:rFonts w:ascii="楷体" w:hAnsi="楷体" w:eastAsia="楷体"/>
          <w:sz w:val="24"/>
          <w:szCs w:val="24"/>
          <w:highlight w:val="none"/>
        </w:rPr>
        <w:t>15个交易日</w:t>
      </w:r>
      <w:r>
        <w:rPr>
          <w:rFonts w:hint="eastAsia" w:ascii="楷体" w:hAnsi="楷体" w:eastAsia="楷体"/>
          <w:sz w:val="24"/>
          <w:szCs w:val="24"/>
          <w:highlight w:val="none"/>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投资限制</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1</w:t>
      </w:r>
      <w:r>
        <w:rPr>
          <w:rFonts w:hint="eastAsia" w:ascii="楷体" w:hAnsi="楷体" w:eastAsia="楷体" w:cs="Calibri"/>
          <w:b/>
          <w:sz w:val="24"/>
          <w:szCs w:val="24"/>
          <w:highlight w:val="none"/>
          <w:u w:val="single"/>
        </w:rPr>
        <w:t>．本理财产品的投资集中度要求如下：</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highlight w:val="none"/>
          <w:lang w:val="en-US" w:eastAsia="zh-CN"/>
        </w:rPr>
        <w:t>监管机构</w:t>
      </w:r>
      <w:r>
        <w:rPr>
          <w:rFonts w:hint="eastAsia" w:ascii="楷体" w:hAnsi="楷体" w:eastAsia="楷体" w:cs="Calibri"/>
          <w:sz w:val="24"/>
          <w:szCs w:val="24"/>
          <w:highlight w:val="none"/>
        </w:rPr>
        <w:t>认可的其他金融工具。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因非管理人主观因素导致突破上述第（3）项至第（6）项比例限制的，管理人应当在10个交易日内调整至符合要求，</w:t>
      </w:r>
      <w:r>
        <w:rPr>
          <w:rFonts w:hint="eastAsia" w:ascii="楷体" w:hAnsi="楷体" w:eastAsia="楷体" w:cs="Calibri"/>
          <w:sz w:val="24"/>
          <w:szCs w:val="24"/>
          <w:highlight w:val="none"/>
          <w:lang w:val="en-US" w:eastAsia="zh-CN"/>
        </w:rPr>
        <w:t>监管机构</w:t>
      </w:r>
      <w:r>
        <w:rPr>
          <w:rFonts w:hint="eastAsia" w:ascii="楷体" w:hAnsi="楷体" w:eastAsia="楷体" w:cs="Calibri"/>
          <w:sz w:val="24"/>
          <w:szCs w:val="24"/>
          <w:highlight w:val="none"/>
        </w:rPr>
        <w:t>规定的特殊情形除外。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2</w:t>
      </w:r>
      <w:r>
        <w:rPr>
          <w:rFonts w:hint="eastAsia" w:ascii="楷体" w:hAnsi="楷体" w:eastAsia="楷体" w:cs="Calibri"/>
          <w:b/>
          <w:sz w:val="24"/>
          <w:szCs w:val="24"/>
          <w:highlight w:val="none"/>
          <w:u w:val="single"/>
        </w:rPr>
        <w:t>．本理财产品不得投资以下金融工具：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（1）股票；</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（2）可转换债券、可交换债券；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（3）以定期存款利率为基准利率的浮动利率债券，已进入最后一个利率调整期的除外；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（4）信用等级在AA＋以下的债券、资产支持证券；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w:t>
      </w:r>
      <w:r>
        <w:rPr>
          <w:rFonts w:hint="eastAsia" w:ascii="楷体" w:hAnsi="楷体" w:eastAsia="楷体"/>
          <w:color w:val="auto"/>
          <w:sz w:val="24"/>
          <w:szCs w:val="24"/>
          <w:highlight w:val="none"/>
          <w:lang w:val="en-US" w:eastAsia="zh-CN"/>
        </w:rPr>
        <w:t>金融监管总局</w:t>
      </w:r>
      <w:r>
        <w:rPr>
          <w:rFonts w:hint="eastAsia" w:ascii="楷体" w:hAnsi="楷体" w:eastAsia="楷体" w:cs="Calibri"/>
          <w:sz w:val="24"/>
          <w:szCs w:val="24"/>
          <w:highlight w:val="none"/>
        </w:rPr>
        <w:t>、中国人民银行禁止投资的其他金融工具。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3</w:t>
      </w:r>
      <w:r>
        <w:rPr>
          <w:rFonts w:hint="eastAsia" w:ascii="楷体" w:hAnsi="楷体" w:eastAsia="楷体" w:cs="Calibri"/>
          <w:b/>
          <w:sz w:val="24"/>
          <w:szCs w:val="24"/>
          <w:highlight w:val="none"/>
          <w:u w:val="single"/>
        </w:rPr>
        <w:t>．本产品应当确保持有足够的具有良好流动性的资产，并符合以下要求：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（1）本理财产品持有不低于本理财产品资产净值5%的现金、国债、中央银行票据、政策性金融债券。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ascii="楷体" w:hAnsi="楷体" w:eastAsia="楷体" w:cs="Calibri"/>
          <w:sz w:val="24"/>
          <w:szCs w:val="24"/>
          <w:highlight w:val="none"/>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w:t>
      </w:r>
      <w:r>
        <w:rPr>
          <w:rFonts w:ascii="楷体" w:hAnsi="楷体" w:eastAsia="楷体" w:cs="Calibri"/>
          <w:sz w:val="24"/>
          <w:szCs w:val="24"/>
          <w:highlight w:val="none"/>
        </w:rPr>
        <w:t>2）项、第（4）项比例限制的，</w:t>
      </w:r>
      <w:r>
        <w:rPr>
          <w:rFonts w:hint="eastAsia" w:ascii="楷体" w:hAnsi="楷体" w:eastAsia="楷体" w:cs="Calibri"/>
          <w:sz w:val="24"/>
          <w:szCs w:val="24"/>
          <w:highlight w:val="none"/>
        </w:rPr>
        <w:t>管理人应当在</w:t>
      </w:r>
      <w:r>
        <w:rPr>
          <w:rFonts w:ascii="楷体" w:hAnsi="楷体" w:eastAsia="楷体" w:cs="Calibri"/>
          <w:sz w:val="24"/>
          <w:szCs w:val="24"/>
          <w:highlight w:val="none"/>
        </w:rPr>
        <w:t>10个交易日</w:t>
      </w:r>
      <w:r>
        <w:rPr>
          <w:rFonts w:hint="eastAsia" w:ascii="楷体" w:hAnsi="楷体" w:eastAsia="楷体" w:cs="Calibri"/>
          <w:sz w:val="24"/>
          <w:szCs w:val="24"/>
          <w:highlight w:val="none"/>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sz w:val="24"/>
          <w:szCs w:val="24"/>
          <w:highlight w:val="none"/>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5.</w:t>
      </w:r>
      <w:r>
        <w:rPr>
          <w:b/>
          <w:highlight w:val="none"/>
          <w:u w:val="single"/>
        </w:rPr>
        <w:t xml:space="preserve"> </w:t>
      </w:r>
      <w:r>
        <w:rPr>
          <w:rFonts w:hint="eastAsia" w:ascii="楷体" w:hAnsi="楷体" w:eastAsia="楷体" w:cs="Calibri"/>
          <w:b/>
          <w:sz w:val="24"/>
          <w:szCs w:val="24"/>
          <w:highlight w:val="none"/>
          <w:u w:val="single"/>
        </w:rPr>
        <w:t>在开放日前一工作日内，本理财产品</w:t>
      </w:r>
      <w:r>
        <w:rPr>
          <w:rFonts w:ascii="楷体" w:hAnsi="楷体" w:eastAsia="楷体" w:cs="Calibri"/>
          <w:b/>
          <w:sz w:val="24"/>
          <w:szCs w:val="24"/>
          <w:highlight w:val="none"/>
          <w:u w:val="single"/>
        </w:rPr>
        <w:t>7个工作日可变现资产的可变现价</w:t>
      </w:r>
      <w:r>
        <w:rPr>
          <w:rFonts w:hint="eastAsia" w:ascii="楷体" w:hAnsi="楷体" w:eastAsia="楷体" w:cs="Calibri"/>
          <w:b/>
          <w:sz w:val="24"/>
          <w:szCs w:val="24"/>
          <w:highlight w:val="none"/>
          <w:u w:val="single"/>
        </w:rPr>
        <w:t>值应当不低于本产品净资产的</w:t>
      </w:r>
      <w:r>
        <w:rPr>
          <w:rFonts w:ascii="楷体" w:hAnsi="楷体" w:eastAsia="楷体" w:cs="Calibri"/>
          <w:b/>
          <w:sz w:val="24"/>
          <w:szCs w:val="24"/>
          <w:highlight w:val="none"/>
          <w:u w:val="single"/>
        </w:rPr>
        <w:t>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b/>
          <w:sz w:val="24"/>
          <w:szCs w:val="24"/>
          <w:highlight w:val="none"/>
          <w:u w:val="single"/>
        </w:rPr>
        <w:t>本理财产品投资组合的平均剩余期限不得超过</w:t>
      </w:r>
      <w:r>
        <w:rPr>
          <w:rFonts w:ascii="楷体" w:hAnsi="楷体" w:eastAsia="楷体" w:cs="Calibri"/>
          <w:b/>
          <w:sz w:val="24"/>
          <w:szCs w:val="24"/>
          <w:highlight w:val="none"/>
          <w:u w:val="single"/>
        </w:rPr>
        <w:t>120天，平均剩余存续期限不得超过240</w:t>
      </w:r>
      <w:r>
        <w:rPr>
          <w:rFonts w:hint="eastAsia" w:ascii="楷体" w:hAnsi="楷体" w:eastAsia="楷体" w:cs="Calibri"/>
          <w:b/>
          <w:sz w:val="24"/>
          <w:szCs w:val="24"/>
          <w:highlight w:val="none"/>
          <w:u w:val="single"/>
        </w:rPr>
        <w:t>天。</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投资组合平均剩余存续期限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highlight w:val="none"/>
        </w:rPr>
      </w:pPr>
      <w:r>
        <w:rPr>
          <w:rFonts w:ascii="楷体" w:hAnsi="楷体" w:eastAsia="楷体" w:cs="Calibri"/>
          <w:b/>
          <w:sz w:val="24"/>
          <w:szCs w:val="24"/>
          <w:highlight w:val="none"/>
          <w:u w:val="single"/>
        </w:rPr>
        <w:t>7.</w:t>
      </w:r>
      <w:r>
        <w:rPr>
          <w:rFonts w:hint="eastAsia" w:ascii="楷体" w:hAnsi="楷体" w:eastAsia="楷体" w:cs="Calibri"/>
          <w:b/>
          <w:sz w:val="24"/>
          <w:szCs w:val="24"/>
          <w:highlight w:val="none"/>
          <w:u w:val="single"/>
        </w:rPr>
        <w:t>管理人应根据投资者集中度情况对投资组合实施调整，并遵守以下要求</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（1）当前1</w:t>
      </w:r>
      <w:r>
        <w:rPr>
          <w:rFonts w:ascii="楷体" w:hAnsi="楷体" w:eastAsia="楷体" w:cs="Calibri"/>
          <w:sz w:val="24"/>
          <w:szCs w:val="24"/>
          <w:highlight w:val="none"/>
        </w:rPr>
        <w:t>0</w:t>
      </w:r>
      <w:r>
        <w:rPr>
          <w:rFonts w:hint="eastAsia" w:ascii="楷体" w:hAnsi="楷体" w:eastAsia="楷体" w:cs="Calibri"/>
          <w:sz w:val="24"/>
          <w:szCs w:val="24"/>
          <w:highlight w:val="none"/>
        </w:rPr>
        <w:t>名投资者的持有份额合计超过本理财产品总份额的</w:t>
      </w:r>
      <w:r>
        <w:rPr>
          <w:rFonts w:ascii="楷体" w:hAnsi="楷体" w:eastAsia="楷体" w:cs="Calibri"/>
          <w:b/>
          <w:sz w:val="24"/>
          <w:szCs w:val="24"/>
          <w:highlight w:val="none"/>
          <w:u w:val="single"/>
        </w:rPr>
        <w:t>50%</w:t>
      </w:r>
      <w:r>
        <w:rPr>
          <w:rFonts w:hint="eastAsia" w:ascii="楷体" w:hAnsi="楷体" w:eastAsia="楷体" w:cs="Calibri"/>
          <w:sz w:val="24"/>
          <w:szCs w:val="24"/>
          <w:highlight w:val="none"/>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30%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（2）当前10名投资者的持有份额合计超过本理财产品总份额的</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非因管理人主观因素导致突破上述第（1）项、第（2）项比例限制的，管理人应当在10个交易日内调整至符合要求，</w:t>
      </w:r>
      <w:r>
        <w:rPr>
          <w:rFonts w:hint="eastAsia" w:ascii="楷体" w:hAnsi="楷体" w:eastAsia="楷体" w:cs="Calibri"/>
          <w:sz w:val="24"/>
          <w:szCs w:val="24"/>
          <w:highlight w:val="none"/>
          <w:lang w:val="en-US" w:eastAsia="zh-CN"/>
        </w:rPr>
        <w:t>监管机构</w:t>
      </w:r>
      <w:r>
        <w:rPr>
          <w:rFonts w:hint="eastAsia" w:ascii="楷体" w:hAnsi="楷体" w:eastAsia="楷体" w:cs="Calibri"/>
          <w:sz w:val="24"/>
          <w:szCs w:val="24"/>
          <w:highlight w:val="none"/>
        </w:rPr>
        <w:t>规定的特殊情形除外。</w:t>
      </w:r>
    </w:p>
    <w:p>
      <w:pPr>
        <w:ind w:firstLine="480" w:firstLineChars="200"/>
        <w:rPr>
          <w:rFonts w:ascii="楷体" w:hAnsi="楷体" w:eastAsia="楷体" w:cs="Calibri"/>
          <w:b/>
          <w:sz w:val="24"/>
          <w:szCs w:val="24"/>
          <w:highlight w:val="none"/>
        </w:rPr>
      </w:pPr>
      <w:r>
        <w:rPr>
          <w:rFonts w:ascii="楷体" w:hAnsi="楷体" w:eastAsia="楷体" w:cs="Calibri"/>
          <w:sz w:val="24"/>
          <w:szCs w:val="24"/>
          <w:highlight w:val="none"/>
        </w:rPr>
        <w:t>8.</w:t>
      </w:r>
      <w:r>
        <w:rPr>
          <w:rFonts w:hint="eastAsia"/>
          <w:highlight w:val="none"/>
        </w:rPr>
        <w:t xml:space="preserve"> </w:t>
      </w:r>
      <w:r>
        <w:rPr>
          <w:rFonts w:hint="eastAsia" w:ascii="楷体" w:hAnsi="楷体" w:eastAsia="楷体" w:cs="Calibri"/>
          <w:sz w:val="24"/>
          <w:szCs w:val="24"/>
          <w:highlight w:val="none"/>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杠杆水平限制</w:t>
      </w:r>
    </w:p>
    <w:p>
      <w:pPr>
        <w:ind w:firstLine="482" w:firstLineChars="200"/>
        <w:rPr>
          <w:rFonts w:ascii="楷体" w:hAnsi="楷体" w:eastAsia="楷体"/>
          <w:sz w:val="24"/>
          <w:szCs w:val="24"/>
          <w:highlight w:val="none"/>
        </w:rPr>
      </w:pPr>
      <w:r>
        <w:rPr>
          <w:rFonts w:hint="eastAsia" w:ascii="楷体" w:hAnsi="楷体" w:eastAsia="楷体"/>
          <w:b/>
          <w:sz w:val="24"/>
          <w:szCs w:val="24"/>
          <w:highlight w:val="none"/>
          <w:u w:val="single"/>
        </w:rPr>
        <w:t>本理财产品资产总值</w:t>
      </w:r>
      <w:r>
        <w:rPr>
          <w:rFonts w:ascii="楷体" w:hAnsi="楷体" w:eastAsia="楷体"/>
          <w:b/>
          <w:sz w:val="24"/>
          <w:szCs w:val="24"/>
          <w:highlight w:val="none"/>
          <w:u w:val="single"/>
        </w:rPr>
        <w:t>/理财产品资产净值不超过120%</w:t>
      </w:r>
      <w:r>
        <w:rPr>
          <w:rFonts w:hint="eastAsia" w:ascii="楷体" w:hAnsi="楷体" w:eastAsia="楷体"/>
          <w:sz w:val="24"/>
          <w:szCs w:val="24"/>
          <w:highlight w:val="none"/>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投资范围调整</w:t>
      </w:r>
    </w:p>
    <w:p>
      <w:pPr>
        <w:ind w:firstLine="480" w:firstLineChars="200"/>
        <w:rPr>
          <w:rFonts w:ascii="楷体" w:hAnsi="楷体" w:eastAsia="楷体"/>
          <w:sz w:val="24"/>
          <w:szCs w:val="24"/>
          <w:highlight w:val="none"/>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sz w:val="24"/>
          <w:szCs w:val="24"/>
          <w:highlight w:val="none"/>
        </w:rPr>
        <w:t>。</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产品认购</w:t>
      </w:r>
    </w:p>
    <w:p>
      <w:pPr>
        <w:numPr>
          <w:ilvl w:val="0"/>
          <w:numId w:val="12"/>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认购期间：</w:t>
      </w:r>
    </w:p>
    <w:p>
      <w:pPr>
        <w:numPr>
          <w:ilvl w:val="0"/>
          <w:numId w:val="0"/>
        </w:numPr>
        <w:tabs>
          <w:tab w:val="left" w:pos="993"/>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A/代发专享/DG/E/H/F/G份额：</w:t>
      </w:r>
      <w:r>
        <w:rPr>
          <w:rFonts w:hint="eastAsia" w:ascii="楷体" w:hAnsi="楷体" w:eastAsia="楷体" w:cs="Calibri"/>
          <w:sz w:val="24"/>
          <w:szCs w:val="24"/>
          <w:highlight w:val="none"/>
        </w:rPr>
        <w:t>2</w:t>
      </w:r>
      <w:r>
        <w:rPr>
          <w:rFonts w:ascii="楷体" w:hAnsi="楷体" w:eastAsia="楷体" w:cs="Calibri"/>
          <w:sz w:val="24"/>
          <w:szCs w:val="24"/>
          <w:highlight w:val="none"/>
        </w:rPr>
        <w:t>018</w:t>
      </w:r>
      <w:r>
        <w:rPr>
          <w:rFonts w:hint="eastAsia" w:ascii="楷体" w:hAnsi="楷体" w:eastAsia="楷体" w:cs="Calibri"/>
          <w:sz w:val="24"/>
          <w:szCs w:val="24"/>
          <w:highlight w:val="none"/>
        </w:rPr>
        <w:t>年8月2</w:t>
      </w:r>
      <w:r>
        <w:rPr>
          <w:rFonts w:ascii="楷体" w:hAnsi="楷体" w:eastAsia="楷体" w:cs="Calibri"/>
          <w:sz w:val="24"/>
          <w:szCs w:val="24"/>
          <w:highlight w:val="none"/>
        </w:rPr>
        <w:t>7</w:t>
      </w:r>
      <w:r>
        <w:rPr>
          <w:rFonts w:hint="eastAsia" w:ascii="楷体" w:hAnsi="楷体" w:eastAsia="楷体" w:cs="Calibri"/>
          <w:sz w:val="24"/>
          <w:szCs w:val="24"/>
          <w:highlight w:val="none"/>
        </w:rPr>
        <w:t>日9:00至2</w:t>
      </w:r>
      <w:r>
        <w:rPr>
          <w:rFonts w:ascii="楷体" w:hAnsi="楷体" w:eastAsia="楷体" w:cs="Calibri"/>
          <w:sz w:val="24"/>
          <w:szCs w:val="24"/>
          <w:highlight w:val="none"/>
        </w:rPr>
        <w:t>018</w:t>
      </w:r>
      <w:r>
        <w:rPr>
          <w:rFonts w:hint="eastAsia" w:ascii="楷体" w:hAnsi="楷体" w:eastAsia="楷体" w:cs="Calibri"/>
          <w:sz w:val="24"/>
          <w:szCs w:val="24"/>
          <w:highlight w:val="none"/>
        </w:rPr>
        <w:t>年8月2</w:t>
      </w:r>
      <w:r>
        <w:rPr>
          <w:rFonts w:ascii="楷体" w:hAnsi="楷体" w:eastAsia="楷体" w:cs="Calibri"/>
          <w:sz w:val="24"/>
          <w:szCs w:val="24"/>
          <w:highlight w:val="none"/>
        </w:rPr>
        <w:t>9</w:t>
      </w:r>
      <w:r>
        <w:rPr>
          <w:rFonts w:hint="eastAsia" w:ascii="楷体" w:hAnsi="楷体" w:eastAsia="楷体" w:cs="Calibri"/>
          <w:sz w:val="24"/>
          <w:szCs w:val="24"/>
          <w:highlight w:val="none"/>
        </w:rPr>
        <w:t>日17:00。</w:t>
      </w:r>
    </w:p>
    <w:p>
      <w:pPr>
        <w:numPr>
          <w:ilvl w:val="0"/>
          <w:numId w:val="0"/>
        </w:numPr>
        <w:tabs>
          <w:tab w:val="left" w:pos="993"/>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W份额：</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月2</w:t>
      </w:r>
      <w:r>
        <w:rPr>
          <w:rFonts w:hint="eastAsia" w:ascii="楷体" w:hAnsi="楷体" w:eastAsia="楷体" w:cs="Calibri"/>
          <w:sz w:val="24"/>
          <w:szCs w:val="24"/>
          <w:highlight w:val="none"/>
          <w:lang w:val="en-US" w:eastAsia="zh-CN"/>
        </w:rPr>
        <w:t>9</w:t>
      </w:r>
      <w:r>
        <w:rPr>
          <w:rFonts w:hint="eastAsia" w:ascii="楷体" w:hAnsi="楷体" w:eastAsia="楷体" w:cs="Calibri"/>
          <w:sz w:val="24"/>
          <w:szCs w:val="24"/>
          <w:highlight w:val="none"/>
        </w:rPr>
        <w:t>日9:00至20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月29日17:00</w:t>
      </w:r>
      <w:r>
        <w:rPr>
          <w:rFonts w:hint="eastAsia" w:ascii="楷体" w:hAnsi="楷体" w:eastAsia="楷体" w:cs="Calibri"/>
          <w:sz w:val="24"/>
          <w:szCs w:val="24"/>
          <w:highlight w:val="none"/>
          <w:lang w:eastAsia="zh-CN"/>
        </w:rPr>
        <w:t>。</w:t>
      </w:r>
    </w:p>
    <w:p>
      <w:pPr>
        <w:numPr>
          <w:ilvl w:val="0"/>
          <w:numId w:val="0"/>
        </w:numPr>
        <w:tabs>
          <w:tab w:val="left" w:pos="993"/>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X份额：</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26</w:t>
      </w:r>
      <w:r>
        <w:rPr>
          <w:rFonts w:hint="eastAsia" w:ascii="楷体" w:hAnsi="楷体" w:eastAsia="楷体" w:cs="Calibri"/>
          <w:sz w:val="24"/>
          <w:szCs w:val="24"/>
          <w:highlight w:val="none"/>
        </w:rPr>
        <w:t>日9:00至20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26</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numPr>
          <w:ilvl w:val="0"/>
          <w:numId w:val="0"/>
        </w:numPr>
        <w:tabs>
          <w:tab w:val="left" w:pos="993"/>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S份额：</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30</w:t>
      </w:r>
      <w:r>
        <w:rPr>
          <w:rFonts w:hint="eastAsia" w:ascii="楷体" w:hAnsi="楷体" w:eastAsia="楷体" w:cs="Calibri"/>
          <w:sz w:val="24"/>
          <w:szCs w:val="24"/>
          <w:highlight w:val="none"/>
        </w:rPr>
        <w:t>日9:00至20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30</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numPr>
          <w:ilvl w:val="0"/>
          <w:numId w:val="0"/>
        </w:numPr>
        <w:tabs>
          <w:tab w:val="left" w:pos="993"/>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J份额：2023年9月25日9:00至2023年9月25日17:00。</w:t>
      </w:r>
    </w:p>
    <w:p>
      <w:pPr>
        <w:numPr>
          <w:ilvl w:val="0"/>
          <w:numId w:val="0"/>
        </w:numPr>
        <w:tabs>
          <w:tab w:val="left" w:pos="993"/>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DG2份额：2024年6月18日9:00至2024年6月18日17:00。</w:t>
      </w:r>
    </w:p>
    <w:p>
      <w:pPr>
        <w:numPr>
          <w:ilvl w:val="0"/>
          <w:numId w:val="0"/>
        </w:numPr>
        <w:tabs>
          <w:tab w:val="left" w:pos="993"/>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WS份额：</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9</w:t>
      </w:r>
      <w:r>
        <w:rPr>
          <w:rFonts w:hint="eastAsia" w:ascii="楷体" w:hAnsi="楷体" w:eastAsia="楷体" w:cs="Calibri"/>
          <w:sz w:val="24"/>
          <w:szCs w:val="24"/>
          <w:highlight w:val="none"/>
        </w:rPr>
        <w:t>月2</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日9:00至20</w:t>
      </w:r>
      <w:r>
        <w:rPr>
          <w:rFonts w:hint="eastAsia" w:ascii="楷体" w:hAnsi="楷体" w:eastAsia="楷体" w:cs="Calibri"/>
          <w:sz w:val="24"/>
          <w:szCs w:val="24"/>
          <w:highlight w:val="none"/>
          <w:lang w:val="en-US" w:eastAsia="zh-CN"/>
        </w:rPr>
        <w:t>24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9</w:t>
      </w:r>
      <w:r>
        <w:rPr>
          <w:rFonts w:hint="eastAsia" w:ascii="楷体" w:hAnsi="楷体" w:eastAsia="楷体" w:cs="Calibri"/>
          <w:sz w:val="24"/>
          <w:szCs w:val="24"/>
          <w:highlight w:val="none"/>
        </w:rPr>
        <w:t>月2</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numPr>
          <w:ilvl w:val="0"/>
          <w:numId w:val="0"/>
        </w:numPr>
        <w:tabs>
          <w:tab w:val="left" w:pos="993"/>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DG3份额：2025年1月16日9:00至2025年1月16日17:00。</w:t>
      </w:r>
    </w:p>
    <w:p>
      <w:pPr>
        <w:numPr>
          <w:ilvl w:val="0"/>
          <w:numId w:val="0"/>
        </w:numPr>
        <w:tabs>
          <w:tab w:val="left" w:pos="993"/>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K份额：2025年2月10日9:00至2025年2月10日17:00</w:t>
      </w:r>
      <w:r>
        <w:rPr>
          <w:rFonts w:hint="eastAsia" w:ascii="楷体" w:hAnsi="楷体" w:eastAsia="楷体" w:cs="Calibri"/>
          <w:sz w:val="24"/>
          <w:szCs w:val="24"/>
          <w:highlight w:val="none"/>
          <w:lang w:eastAsia="zh-CN"/>
        </w:rPr>
        <w:t>。</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r>
        <w:rPr>
          <w:rFonts w:hint="eastAsia" w:ascii="楷体" w:hAnsi="楷体" w:eastAsia="楷体" w:cs="Calibri"/>
          <w:sz w:val="24"/>
          <w:szCs w:val="24"/>
          <w:highlight w:val="none"/>
          <w:lang w:eastAsia="zh-CN"/>
        </w:rPr>
        <w:t>。</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本理财产品采取金额认购，投资者单笔认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销售名称</w:t>
            </w:r>
          </w:p>
        </w:tc>
        <w:tc>
          <w:tcPr>
            <w:tcW w:w="1405"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销售代码</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首次认/申购</w:t>
            </w:r>
          </w:p>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起点金额</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Cs w:val="21"/>
                <w:highlight w:val="none"/>
                <w:lang w:val="en-US" w:eastAsia="zh-CN"/>
              </w:rPr>
            </w:pPr>
            <w:r>
              <w:rPr>
                <w:rFonts w:hint="eastAsia" w:ascii="楷体" w:hAnsi="楷体" w:eastAsia="楷体" w:cs="宋体"/>
                <w:spacing w:val="-2"/>
                <w:szCs w:val="21"/>
                <w:highlight w:val="none"/>
              </w:rPr>
              <w:t>苏银理财</w:t>
            </w:r>
            <w:r>
              <w:rPr>
                <w:rFonts w:hint="eastAsia" w:ascii="楷体" w:hAnsi="楷体" w:eastAsia="楷体" w:cs="Calibri"/>
                <w:szCs w:val="21"/>
                <w:highlight w:val="none"/>
              </w:rPr>
              <w:t>启源现金1号</w:t>
            </w:r>
            <w:r>
              <w:rPr>
                <w:rFonts w:hint="eastAsia" w:ascii="楷体" w:hAnsi="楷体" w:eastAsia="楷体" w:cs="Calibri"/>
                <w:szCs w:val="21"/>
                <w:highlight w:val="none"/>
                <w:lang w:val="en-US" w:eastAsia="zh-CN"/>
              </w:rPr>
              <w:t>A</w:t>
            </w:r>
          </w:p>
        </w:tc>
        <w:tc>
          <w:tcPr>
            <w:tcW w:w="1405" w:type="dxa"/>
            <w:vAlign w:val="center"/>
          </w:tcPr>
          <w:p>
            <w:pPr>
              <w:tabs>
                <w:tab w:val="left" w:pos="993"/>
              </w:tabs>
              <w:jc w:val="center"/>
              <w:rPr>
                <w:rFonts w:ascii="楷体" w:hAnsi="楷体" w:eastAsia="楷体" w:cs="Calibri"/>
                <w:szCs w:val="21"/>
                <w:highlight w:val="none"/>
              </w:rPr>
            </w:pPr>
            <w:r>
              <w:rPr>
                <w:rFonts w:cs="Calibri"/>
                <w:sz w:val="18"/>
                <w:szCs w:val="18"/>
                <w:highlight w:val="none"/>
              </w:rPr>
              <w:t>J183008SA819</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1元</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Cs w:val="21"/>
                <w:highlight w:val="none"/>
                <w:lang w:eastAsia="zh-CN"/>
              </w:rPr>
            </w:pPr>
            <w:r>
              <w:rPr>
                <w:rFonts w:hint="eastAsia" w:ascii="楷体" w:hAnsi="楷体" w:eastAsia="楷体" w:cs="宋体"/>
                <w:spacing w:val="-2"/>
                <w:szCs w:val="21"/>
                <w:highlight w:val="none"/>
                <w:lang w:eastAsia="zh-CN"/>
              </w:rPr>
              <w:t>苏银理财启源现金1号（代发专享）</w:t>
            </w:r>
          </w:p>
        </w:tc>
        <w:tc>
          <w:tcPr>
            <w:tcW w:w="1405" w:type="dxa"/>
            <w:vAlign w:val="center"/>
          </w:tcPr>
          <w:p>
            <w:pPr>
              <w:tabs>
                <w:tab w:val="left" w:pos="993"/>
              </w:tabs>
              <w:jc w:val="center"/>
              <w:rPr>
                <w:rFonts w:cs="Calibri"/>
                <w:sz w:val="18"/>
                <w:szCs w:val="18"/>
                <w:highlight w:val="none"/>
              </w:rPr>
            </w:pPr>
            <w:r>
              <w:rPr>
                <w:rFonts w:cs="Calibri"/>
                <w:sz w:val="18"/>
                <w:szCs w:val="18"/>
                <w:highlight w:val="none"/>
              </w:rPr>
              <w:t>J183008SA81B</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lang w:val="en-US" w:eastAsia="zh-CN"/>
              </w:rPr>
              <w:t>个人投资者1000</w:t>
            </w:r>
            <w:r>
              <w:rPr>
                <w:rFonts w:hint="eastAsia" w:ascii="楷体" w:hAnsi="楷体" w:eastAsia="楷体" w:cs="Calibri"/>
                <w:szCs w:val="21"/>
                <w:highlight w:val="none"/>
              </w:rPr>
              <w:t>元</w:t>
            </w:r>
            <w:r>
              <w:rPr>
                <w:rFonts w:hint="eastAsia" w:ascii="楷体" w:hAnsi="楷体" w:eastAsia="楷体" w:cs="Calibri"/>
                <w:szCs w:val="21"/>
                <w:highlight w:val="none"/>
                <w:lang w:val="en-US" w:eastAsia="zh-CN"/>
              </w:rPr>
              <w:t>/机构投资者</w:t>
            </w:r>
            <w:r>
              <w:rPr>
                <w:rFonts w:hint="eastAsia" w:ascii="楷体" w:hAnsi="楷体" w:eastAsia="楷体" w:cs="Calibri"/>
                <w:szCs w:val="21"/>
                <w:highlight w:val="none"/>
              </w:rPr>
              <w:t>1</w:t>
            </w:r>
            <w:r>
              <w:rPr>
                <w:rFonts w:hint="eastAsia" w:ascii="楷体" w:hAnsi="楷体" w:eastAsia="楷体" w:cs="Calibri"/>
                <w:szCs w:val="21"/>
                <w:highlight w:val="none"/>
                <w:lang w:val="en-US" w:eastAsia="zh-CN"/>
              </w:rPr>
              <w:t>00</w:t>
            </w:r>
            <w:r>
              <w:rPr>
                <w:rFonts w:hint="eastAsia" w:ascii="楷体" w:hAnsi="楷体" w:eastAsia="楷体" w:cs="Calibri"/>
                <w:szCs w:val="21"/>
                <w:highlight w:val="none"/>
              </w:rPr>
              <w:t>万元</w:t>
            </w:r>
          </w:p>
        </w:tc>
        <w:tc>
          <w:tcPr>
            <w:tcW w:w="2301"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Calibri"/>
                <w:szCs w:val="21"/>
                <w:highlight w:val="none"/>
                <w:lang w:val="en-US" w:eastAsia="zh-CN"/>
              </w:rPr>
              <w:t>个人投资者</w:t>
            </w: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r>
              <w:rPr>
                <w:rFonts w:hint="eastAsia" w:ascii="楷体" w:hAnsi="楷体" w:eastAsia="楷体" w:cs="Calibri"/>
                <w:szCs w:val="21"/>
                <w:highlight w:val="none"/>
                <w:lang w:val="en-US" w:eastAsia="zh-CN"/>
              </w:rPr>
              <w:t>/机构投资者</w:t>
            </w:r>
            <w:r>
              <w:rPr>
                <w:rFonts w:hint="eastAsia" w:ascii="楷体" w:hAnsi="楷体" w:eastAsia="楷体" w:cs="Calibri"/>
                <w:szCs w:val="21"/>
                <w:highlight w:val="none"/>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Cs w:val="21"/>
                <w:highlight w:val="none"/>
                <w:lang w:val="en-US" w:eastAsia="zh-CN"/>
              </w:rPr>
            </w:pPr>
            <w:r>
              <w:rPr>
                <w:rFonts w:hint="eastAsia" w:ascii="楷体" w:hAnsi="楷体" w:eastAsia="楷体" w:cs="宋体"/>
                <w:spacing w:val="-2"/>
                <w:szCs w:val="21"/>
                <w:highlight w:val="none"/>
              </w:rPr>
              <w:t>苏银理财</w:t>
            </w:r>
            <w:r>
              <w:rPr>
                <w:rFonts w:hint="eastAsia" w:ascii="楷体" w:hAnsi="楷体" w:eastAsia="楷体" w:cs="Calibri"/>
                <w:szCs w:val="21"/>
                <w:highlight w:val="none"/>
              </w:rPr>
              <w:t>启源现金1号</w:t>
            </w:r>
            <w:r>
              <w:rPr>
                <w:rFonts w:hint="eastAsia" w:ascii="楷体" w:hAnsi="楷体" w:eastAsia="楷体" w:cs="Calibri"/>
                <w:szCs w:val="21"/>
                <w:highlight w:val="none"/>
                <w:lang w:val="en-US" w:eastAsia="zh-CN"/>
              </w:rPr>
              <w:t>DG</w:t>
            </w:r>
          </w:p>
        </w:tc>
        <w:tc>
          <w:tcPr>
            <w:tcW w:w="1405" w:type="dxa"/>
            <w:vAlign w:val="center"/>
          </w:tcPr>
          <w:p>
            <w:pPr>
              <w:tabs>
                <w:tab w:val="left" w:pos="993"/>
              </w:tabs>
              <w:jc w:val="center"/>
              <w:rPr>
                <w:rFonts w:cs="Calibri"/>
                <w:sz w:val="18"/>
                <w:szCs w:val="18"/>
                <w:highlight w:val="none"/>
              </w:rPr>
            </w:pPr>
            <w:r>
              <w:rPr>
                <w:rFonts w:cs="Calibri"/>
                <w:sz w:val="18"/>
                <w:szCs w:val="18"/>
                <w:highlight w:val="none"/>
              </w:rPr>
              <w:t>J183008SB81C</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1万元</w:t>
            </w:r>
          </w:p>
        </w:tc>
        <w:tc>
          <w:tcPr>
            <w:tcW w:w="2301" w:type="dxa"/>
          </w:tcPr>
          <w:p>
            <w:pPr>
              <w:tabs>
                <w:tab w:val="left" w:pos="993"/>
              </w:tabs>
              <w:jc w:val="center"/>
              <w:rPr>
                <w:rFonts w:ascii="楷体" w:hAnsi="楷体" w:eastAsia="楷体" w:cs="宋体"/>
                <w:spacing w:val="-2"/>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982" w:type="dxa"/>
            <w:vAlign w:val="center"/>
          </w:tcPr>
          <w:p>
            <w:pPr>
              <w:tabs>
                <w:tab w:val="left" w:pos="993"/>
              </w:tabs>
              <w:jc w:val="center"/>
              <w:rPr>
                <w:rFonts w:hint="eastAsia" w:ascii="楷体" w:hAnsi="楷体" w:eastAsia="楷体" w:cs="Calibri"/>
                <w:szCs w:val="21"/>
                <w:highlight w:val="none"/>
                <w:lang w:eastAsia="zh-CN"/>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eastAsia="zh-CN"/>
              </w:rPr>
              <w:t>E</w:t>
            </w:r>
          </w:p>
        </w:tc>
        <w:tc>
          <w:tcPr>
            <w:tcW w:w="1405" w:type="dxa"/>
            <w:vAlign w:val="center"/>
          </w:tcPr>
          <w:p>
            <w:pPr>
              <w:tabs>
                <w:tab w:val="left" w:pos="993"/>
              </w:tabs>
              <w:jc w:val="center"/>
              <w:rPr>
                <w:rFonts w:cs="Calibri"/>
                <w:sz w:val="18"/>
                <w:szCs w:val="18"/>
                <w:highlight w:val="none"/>
              </w:rPr>
            </w:pPr>
            <w:r>
              <w:rPr>
                <w:rFonts w:cs="Calibri"/>
                <w:sz w:val="18"/>
                <w:szCs w:val="18"/>
                <w:highlight w:val="none"/>
              </w:rPr>
              <w:t>J183008SA81</w:t>
            </w:r>
            <w:r>
              <w:rPr>
                <w:rFonts w:hint="eastAsia" w:cs="Calibri"/>
                <w:sz w:val="18"/>
                <w:szCs w:val="18"/>
                <w:highlight w:val="none"/>
              </w:rPr>
              <w:t>D</w:t>
            </w:r>
          </w:p>
        </w:tc>
        <w:tc>
          <w:tcPr>
            <w:tcW w:w="1834" w:type="dxa"/>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lang w:val="en-US" w:eastAsia="zh-CN"/>
              </w:rPr>
              <w:t>个人投资者</w:t>
            </w:r>
            <w:r>
              <w:rPr>
                <w:rFonts w:hint="eastAsia" w:ascii="楷体" w:hAnsi="楷体" w:eastAsia="楷体" w:cs="Calibri"/>
                <w:szCs w:val="21"/>
                <w:highlight w:val="none"/>
              </w:rPr>
              <w:t>1</w:t>
            </w:r>
            <w:r>
              <w:rPr>
                <w:rFonts w:ascii="楷体" w:hAnsi="楷体" w:eastAsia="楷体" w:cs="Calibri"/>
                <w:szCs w:val="21"/>
                <w:highlight w:val="none"/>
              </w:rPr>
              <w:t>00</w:t>
            </w:r>
            <w:r>
              <w:rPr>
                <w:rFonts w:hint="eastAsia" w:ascii="楷体" w:hAnsi="楷体" w:eastAsia="楷体" w:cs="Calibri"/>
                <w:szCs w:val="21"/>
                <w:highlight w:val="none"/>
              </w:rPr>
              <w:t>万元</w:t>
            </w:r>
            <w:r>
              <w:rPr>
                <w:rFonts w:hint="eastAsia" w:ascii="楷体" w:hAnsi="楷体" w:eastAsia="楷体" w:cs="Calibri"/>
                <w:szCs w:val="21"/>
                <w:highlight w:val="none"/>
                <w:lang w:val="en-US" w:eastAsia="zh-CN"/>
              </w:rPr>
              <w:t>/机构投资者</w:t>
            </w:r>
            <w:r>
              <w:rPr>
                <w:rFonts w:hint="eastAsia" w:ascii="楷体" w:hAnsi="楷体" w:eastAsia="楷体" w:cs="Calibri"/>
                <w:szCs w:val="21"/>
                <w:highlight w:val="none"/>
              </w:rPr>
              <w:t>1</w:t>
            </w:r>
            <w:r>
              <w:rPr>
                <w:rFonts w:hint="eastAsia" w:ascii="楷体" w:hAnsi="楷体" w:eastAsia="楷体" w:cs="Calibri"/>
                <w:szCs w:val="21"/>
                <w:highlight w:val="none"/>
                <w:lang w:val="en-US" w:eastAsia="zh-CN"/>
              </w:rPr>
              <w:t>亿</w:t>
            </w:r>
            <w:r>
              <w:rPr>
                <w:rFonts w:hint="eastAsia" w:ascii="楷体" w:hAnsi="楷体" w:eastAsia="楷体" w:cs="Calibri"/>
                <w:szCs w:val="21"/>
                <w:highlight w:val="none"/>
              </w:rPr>
              <w:t>元</w:t>
            </w:r>
          </w:p>
        </w:tc>
        <w:tc>
          <w:tcPr>
            <w:tcW w:w="2301"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Calibri"/>
                <w:szCs w:val="21"/>
                <w:highlight w:val="none"/>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rPr>
              <w:t>苏银理财启源现金 1 号</w:t>
            </w:r>
            <w:r>
              <w:rPr>
                <w:rFonts w:hint="eastAsia" w:ascii="楷体" w:hAnsi="楷体" w:eastAsia="楷体" w:cs="宋体"/>
                <w:spacing w:val="-2"/>
                <w:szCs w:val="21"/>
                <w:highlight w:val="none"/>
                <w:lang w:eastAsia="zh-CN"/>
              </w:rPr>
              <w:t>H</w:t>
            </w:r>
          </w:p>
        </w:tc>
        <w:tc>
          <w:tcPr>
            <w:tcW w:w="1405" w:type="dxa"/>
            <w:vAlign w:val="center"/>
          </w:tcPr>
          <w:p>
            <w:pPr>
              <w:tabs>
                <w:tab w:val="left" w:pos="993"/>
              </w:tabs>
              <w:jc w:val="center"/>
              <w:rPr>
                <w:rFonts w:cs="Calibri"/>
                <w:sz w:val="18"/>
                <w:szCs w:val="18"/>
                <w:highlight w:val="none"/>
              </w:rPr>
            </w:pPr>
            <w:r>
              <w:rPr>
                <w:rFonts w:hint="eastAsia" w:cs="Calibri"/>
                <w:sz w:val="18"/>
                <w:szCs w:val="18"/>
                <w:highlight w:val="none"/>
              </w:rPr>
              <w:t xml:space="preserve">J01623 </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0.01 元</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宋体"/>
                <w:spacing w:val="-2"/>
                <w:szCs w:val="21"/>
                <w:highlight w:val="none"/>
              </w:rPr>
              <w:t>苏银理财启源现金 1 号F</w:t>
            </w:r>
          </w:p>
        </w:tc>
        <w:tc>
          <w:tcPr>
            <w:tcW w:w="1405" w:type="dxa"/>
            <w:vAlign w:val="center"/>
          </w:tcPr>
          <w:p>
            <w:pPr>
              <w:tabs>
                <w:tab w:val="left" w:pos="993"/>
              </w:tabs>
              <w:jc w:val="center"/>
              <w:rPr>
                <w:rFonts w:cs="Calibri"/>
                <w:sz w:val="18"/>
                <w:szCs w:val="18"/>
                <w:highlight w:val="none"/>
              </w:rPr>
            </w:pPr>
            <w:r>
              <w:rPr>
                <w:rFonts w:hint="eastAsia" w:cs="Calibri"/>
                <w:sz w:val="18"/>
                <w:szCs w:val="18"/>
                <w:highlight w:val="none"/>
              </w:rPr>
              <w:t>J02008</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0.01 元</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宋体"/>
                <w:spacing w:val="-2"/>
                <w:szCs w:val="21"/>
                <w:highlight w:val="none"/>
              </w:rPr>
              <w:t>苏银理财启源现金1号G</w:t>
            </w:r>
          </w:p>
        </w:tc>
        <w:tc>
          <w:tcPr>
            <w:tcW w:w="1405" w:type="dxa"/>
            <w:vAlign w:val="center"/>
          </w:tcPr>
          <w:p>
            <w:pPr>
              <w:tabs>
                <w:tab w:val="left" w:pos="993"/>
              </w:tabs>
              <w:jc w:val="center"/>
              <w:rPr>
                <w:rFonts w:cs="Calibri"/>
                <w:sz w:val="18"/>
                <w:szCs w:val="18"/>
                <w:highlight w:val="none"/>
              </w:rPr>
            </w:pPr>
            <w:r>
              <w:rPr>
                <w:rFonts w:hint="eastAsia" w:cs="Calibri"/>
                <w:sz w:val="18"/>
                <w:szCs w:val="18"/>
                <w:highlight w:val="none"/>
              </w:rPr>
              <w:t>J02158</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1元</w:t>
            </w:r>
          </w:p>
        </w:tc>
        <w:tc>
          <w:tcPr>
            <w:tcW w:w="2301"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W</w:t>
            </w:r>
          </w:p>
        </w:tc>
        <w:tc>
          <w:tcPr>
            <w:tcW w:w="1405" w:type="dxa"/>
            <w:vAlign w:val="center"/>
          </w:tcPr>
          <w:p>
            <w:pPr>
              <w:tabs>
                <w:tab w:val="left" w:pos="993"/>
              </w:tabs>
              <w:jc w:val="center"/>
              <w:rPr>
                <w:rFonts w:hint="eastAsia" w:cs="Calibri"/>
                <w:sz w:val="18"/>
                <w:szCs w:val="18"/>
                <w:highlight w:val="none"/>
              </w:rPr>
            </w:pPr>
            <w:r>
              <w:rPr>
                <w:rFonts w:hint="eastAsia" w:cs="Calibri"/>
                <w:sz w:val="18"/>
                <w:szCs w:val="18"/>
                <w:highlight w:val="none"/>
              </w:rPr>
              <w:t>J02415</w:t>
            </w:r>
          </w:p>
        </w:tc>
        <w:tc>
          <w:tcPr>
            <w:tcW w:w="1834" w:type="dxa"/>
            <w:vAlign w:val="center"/>
          </w:tcPr>
          <w:p>
            <w:pPr>
              <w:tabs>
                <w:tab w:val="left" w:pos="993"/>
              </w:tabs>
              <w:jc w:val="center"/>
              <w:rPr>
                <w:rFonts w:hint="default" w:ascii="楷体" w:hAnsi="楷体" w:eastAsia="楷体" w:cs="Calibri"/>
                <w:szCs w:val="21"/>
                <w:highlight w:val="none"/>
                <w:lang w:val="en-US" w:eastAsia="zh-CN"/>
              </w:rPr>
            </w:pPr>
            <w:r>
              <w:rPr>
                <w:rFonts w:hint="eastAsia" w:ascii="楷体" w:hAnsi="楷体" w:eastAsia="楷体" w:cs="Calibri"/>
                <w:szCs w:val="21"/>
                <w:highlight w:val="none"/>
                <w:lang w:val="en-US" w:eastAsia="zh-CN"/>
              </w:rPr>
              <w:t>0.01元</w:t>
            </w:r>
          </w:p>
        </w:tc>
        <w:tc>
          <w:tcPr>
            <w:tcW w:w="2301" w:type="dxa"/>
            <w:vAlign w:val="center"/>
          </w:tcPr>
          <w:p>
            <w:pPr>
              <w:tabs>
                <w:tab w:val="left" w:pos="993"/>
              </w:tabs>
              <w:jc w:val="center"/>
              <w:rPr>
                <w:rFonts w:hint="eastAsia" w:ascii="楷体" w:hAnsi="楷体" w:eastAsia="楷体" w:cs="宋体"/>
                <w:spacing w:val="-2"/>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X</w:t>
            </w:r>
          </w:p>
        </w:tc>
        <w:tc>
          <w:tcPr>
            <w:tcW w:w="1405" w:type="dxa"/>
            <w:vAlign w:val="center"/>
          </w:tcPr>
          <w:p>
            <w:pPr>
              <w:tabs>
                <w:tab w:val="left" w:pos="993"/>
              </w:tabs>
              <w:jc w:val="center"/>
              <w:rPr>
                <w:rFonts w:hint="eastAsia" w:cs="Calibri"/>
                <w:sz w:val="18"/>
                <w:szCs w:val="18"/>
                <w:highlight w:val="none"/>
              </w:rPr>
            </w:pPr>
            <w:r>
              <w:rPr>
                <w:rFonts w:hint="eastAsia" w:cs="Calibri"/>
                <w:sz w:val="18"/>
                <w:szCs w:val="18"/>
                <w:highlight w:val="none"/>
              </w:rPr>
              <w:t>J02561</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S</w:t>
            </w:r>
          </w:p>
        </w:tc>
        <w:tc>
          <w:tcPr>
            <w:tcW w:w="1405"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J02626</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J</w:t>
            </w:r>
          </w:p>
        </w:tc>
        <w:tc>
          <w:tcPr>
            <w:tcW w:w="1405"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J026</w:t>
            </w:r>
            <w:r>
              <w:rPr>
                <w:rFonts w:hint="eastAsia" w:cs="Calibri"/>
                <w:sz w:val="18"/>
                <w:szCs w:val="18"/>
                <w:highlight w:val="none"/>
                <w:lang w:val="en-US" w:eastAsia="zh-CN"/>
              </w:rPr>
              <w:t>92</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Calibri"/>
                <w:szCs w:val="21"/>
                <w:highlight w:val="none"/>
                <w:lang w:val="en-US" w:eastAsia="zh-CN"/>
              </w:rPr>
              <w:t>DG2</w:t>
            </w:r>
          </w:p>
        </w:tc>
        <w:tc>
          <w:tcPr>
            <w:tcW w:w="1405" w:type="dxa"/>
            <w:vAlign w:val="center"/>
          </w:tcPr>
          <w:p>
            <w:pPr>
              <w:tabs>
                <w:tab w:val="left" w:pos="993"/>
              </w:tabs>
              <w:jc w:val="center"/>
              <w:rPr>
                <w:rFonts w:hint="default" w:ascii="Times New Roman" w:hAnsi="Times New Roman" w:eastAsia="宋体" w:cs="Calibri"/>
                <w:kern w:val="2"/>
                <w:sz w:val="18"/>
                <w:szCs w:val="18"/>
                <w:highlight w:val="none"/>
                <w:lang w:val="en-US" w:eastAsia="zh-CN" w:bidi="ar-SA"/>
              </w:rPr>
            </w:pPr>
            <w:r>
              <w:rPr>
                <w:rFonts w:hint="eastAsia" w:cs="Calibri"/>
                <w:sz w:val="18"/>
                <w:szCs w:val="18"/>
                <w:highlight w:val="none"/>
              </w:rPr>
              <w:t>J0</w:t>
            </w:r>
            <w:r>
              <w:rPr>
                <w:rFonts w:hint="eastAsia" w:cs="Calibri"/>
                <w:sz w:val="18"/>
                <w:szCs w:val="18"/>
                <w:highlight w:val="none"/>
                <w:lang w:val="en-US" w:eastAsia="zh-CN"/>
              </w:rPr>
              <w:t>3410</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lang w:val="en-US" w:eastAsia="zh-CN"/>
              </w:rPr>
              <w:t>个人投资者1元/机构投资者</w:t>
            </w:r>
            <w:r>
              <w:rPr>
                <w:rFonts w:hint="eastAsia" w:ascii="楷体" w:hAnsi="楷体" w:eastAsia="楷体" w:cs="Calibri"/>
                <w:szCs w:val="21"/>
                <w:highlight w:val="none"/>
              </w:rPr>
              <w:t>1</w:t>
            </w:r>
            <w:r>
              <w:rPr>
                <w:rFonts w:hint="eastAsia" w:ascii="楷体" w:hAnsi="楷体" w:eastAsia="楷体" w:cs="Calibri"/>
                <w:szCs w:val="21"/>
                <w:highlight w:val="none"/>
                <w:lang w:val="en-US" w:eastAsia="zh-CN"/>
              </w:rPr>
              <w:t>亿</w:t>
            </w:r>
            <w:r>
              <w:rPr>
                <w:rFonts w:hint="eastAsia" w:ascii="楷体" w:hAnsi="楷体" w:eastAsia="楷体" w:cs="Calibri"/>
                <w:szCs w:val="21"/>
                <w:highlight w:val="none"/>
              </w:rPr>
              <w:t>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Calibri"/>
                <w:szCs w:val="21"/>
                <w:highlight w:val="none"/>
                <w:lang w:val="en-US" w:eastAsia="zh-CN"/>
              </w:rPr>
              <w:t>个人投资者</w:t>
            </w: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r>
              <w:rPr>
                <w:rFonts w:hint="eastAsia" w:ascii="楷体" w:hAnsi="楷体" w:eastAsia="楷体" w:cs="Calibri"/>
                <w:szCs w:val="21"/>
                <w:highlight w:val="none"/>
                <w:lang w:val="en-US" w:eastAsia="zh-CN"/>
              </w:rPr>
              <w:t>/机构投资者</w:t>
            </w:r>
            <w:r>
              <w:rPr>
                <w:rFonts w:hint="eastAsia" w:ascii="楷体" w:hAnsi="楷体" w:eastAsia="楷体" w:cs="Calibri"/>
                <w:szCs w:val="21"/>
                <w:highlight w:val="none"/>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WS</w:t>
            </w:r>
          </w:p>
        </w:tc>
        <w:tc>
          <w:tcPr>
            <w:tcW w:w="1405"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J03552</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Calibri"/>
                <w:szCs w:val="21"/>
                <w:highlight w:val="none"/>
                <w:lang w:val="en-US" w:eastAsia="zh-CN"/>
              </w:rPr>
              <w:t>DG3</w:t>
            </w:r>
          </w:p>
        </w:tc>
        <w:tc>
          <w:tcPr>
            <w:tcW w:w="1405"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J03760</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lang w:val="en-US" w:eastAsia="zh-CN"/>
              </w:rPr>
              <w:t>个人投资者1元/机构投资者5000万</w:t>
            </w:r>
            <w:r>
              <w:rPr>
                <w:rFonts w:hint="eastAsia" w:ascii="楷体" w:hAnsi="楷体" w:eastAsia="楷体" w:cs="Calibri"/>
                <w:szCs w:val="21"/>
                <w:highlight w:val="none"/>
              </w:rPr>
              <w:t>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Calibri"/>
                <w:szCs w:val="21"/>
                <w:highlight w:val="none"/>
                <w:lang w:val="en-US" w:eastAsia="zh-CN"/>
              </w:rPr>
              <w:t>个人投资者</w:t>
            </w: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r>
              <w:rPr>
                <w:rFonts w:hint="eastAsia" w:ascii="楷体" w:hAnsi="楷体" w:eastAsia="楷体" w:cs="Calibri"/>
                <w:szCs w:val="21"/>
                <w:highlight w:val="none"/>
                <w:lang w:val="en-US" w:eastAsia="zh-CN"/>
              </w:rPr>
              <w:t>/机构投资者</w:t>
            </w:r>
            <w:r>
              <w:rPr>
                <w:rFonts w:hint="eastAsia" w:ascii="楷体" w:hAnsi="楷体" w:eastAsia="楷体" w:cs="Calibri"/>
                <w:szCs w:val="21"/>
                <w:highlight w:val="none"/>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Cs w:val="21"/>
                <w:highlight w:val="none"/>
              </w:rPr>
            </w:pPr>
            <w:r>
              <w:rPr>
                <w:rFonts w:hint="eastAsia" w:ascii="楷体" w:hAnsi="楷体" w:eastAsia="楷体" w:cs="宋体"/>
                <w:spacing w:val="-2"/>
                <w:szCs w:val="21"/>
                <w:highlight w:val="none"/>
              </w:rPr>
              <w:t>苏银理财启源现金1号K</w:t>
            </w:r>
          </w:p>
        </w:tc>
        <w:tc>
          <w:tcPr>
            <w:tcW w:w="1405" w:type="dxa"/>
            <w:vAlign w:val="center"/>
          </w:tcPr>
          <w:p>
            <w:pPr>
              <w:tabs>
                <w:tab w:val="left" w:pos="993"/>
              </w:tabs>
              <w:jc w:val="center"/>
              <w:rPr>
                <w:rFonts w:hint="eastAsia" w:cs="Calibri"/>
                <w:sz w:val="18"/>
                <w:szCs w:val="18"/>
                <w:highlight w:val="none"/>
              </w:rPr>
            </w:pPr>
            <w:r>
              <w:rPr>
                <w:rFonts w:hint="eastAsia" w:cs="Calibri"/>
                <w:sz w:val="18"/>
                <w:szCs w:val="18"/>
                <w:highlight w:val="none"/>
              </w:rPr>
              <w:t>J03800</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1元</w:t>
            </w:r>
          </w:p>
        </w:tc>
        <w:tc>
          <w:tcPr>
            <w:tcW w:w="2301"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bl>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单一投资者单日累计认购上限：E</w:t>
      </w:r>
      <w:r>
        <w:rPr>
          <w:rFonts w:hint="eastAsia" w:ascii="楷体" w:hAnsi="楷体" w:eastAsia="楷体" w:cs="Calibri"/>
          <w:sz w:val="24"/>
          <w:szCs w:val="24"/>
          <w:highlight w:val="none"/>
          <w:lang w:val="en-US" w:eastAsia="zh-CN"/>
        </w:rPr>
        <w:t>/</w:t>
      </w:r>
      <w:r>
        <w:rPr>
          <w:rFonts w:hint="eastAsia" w:ascii="楷体" w:hAnsi="楷体" w:eastAsia="楷体" w:cs="Calibri"/>
          <w:sz w:val="24"/>
          <w:szCs w:val="24"/>
          <w:highlight w:val="none"/>
        </w:rPr>
        <w:t>DG2</w:t>
      </w:r>
      <w:r>
        <w:rPr>
          <w:rFonts w:hint="eastAsia" w:ascii="楷体" w:hAnsi="楷体" w:eastAsia="楷体" w:cs="Calibri"/>
          <w:sz w:val="24"/>
          <w:szCs w:val="24"/>
          <w:highlight w:val="none"/>
          <w:lang w:val="en-US" w:eastAsia="zh-CN"/>
        </w:rPr>
        <w:t>/</w:t>
      </w:r>
      <w:r>
        <w:rPr>
          <w:rFonts w:hint="eastAsia" w:ascii="楷体" w:hAnsi="楷体" w:eastAsia="楷体" w:cs="Calibri"/>
          <w:sz w:val="24"/>
          <w:szCs w:val="24"/>
          <w:highlight w:val="none"/>
        </w:rPr>
        <w:t>DG3份额暂无，其他份额5000万元。超过单日累计认购上限时，管理人有权拒绝投资者的认购申请。产品存续期内管理人有权根据实际情况调整单日累计认购上限。</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leftChars="0" w:firstLine="482" w:firstLineChars="200"/>
        <w:textAlignment w:val="auto"/>
        <w:rPr>
          <w:rFonts w:hint="eastAsia" w:ascii="楷体" w:hAnsi="楷体" w:eastAsia="楷体" w:cs="Calibri"/>
          <w:sz w:val="24"/>
          <w:szCs w:val="24"/>
          <w:highlight w:val="none"/>
          <w:lang w:eastAsia="zh-CN"/>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认购份额登记日：本理财产品</w:t>
      </w:r>
      <w:r>
        <w:rPr>
          <w:rFonts w:hint="eastAsia" w:ascii="楷体" w:hAnsi="楷体" w:eastAsia="楷体" w:cs="Calibri"/>
          <w:sz w:val="24"/>
          <w:szCs w:val="24"/>
          <w:highlight w:val="none"/>
          <w:lang w:val="en-US" w:eastAsia="zh-CN"/>
        </w:rPr>
        <w:t>A/代发专享/DG/E/H/F/G</w:t>
      </w:r>
      <w:r>
        <w:rPr>
          <w:rFonts w:hint="eastAsia" w:ascii="楷体" w:hAnsi="楷体" w:eastAsia="楷体" w:cs="Calibri"/>
          <w:sz w:val="24"/>
          <w:szCs w:val="24"/>
          <w:highlight w:val="none"/>
        </w:rPr>
        <w:t>份额于2</w:t>
      </w:r>
      <w:r>
        <w:rPr>
          <w:rFonts w:ascii="楷体" w:hAnsi="楷体" w:eastAsia="楷体" w:cs="Calibri"/>
          <w:sz w:val="24"/>
          <w:szCs w:val="24"/>
          <w:highlight w:val="none"/>
        </w:rPr>
        <w:t>018</w:t>
      </w:r>
      <w:r>
        <w:rPr>
          <w:rFonts w:hint="eastAsia" w:ascii="楷体" w:hAnsi="楷体" w:eastAsia="楷体" w:cs="Calibri"/>
          <w:sz w:val="24"/>
          <w:szCs w:val="24"/>
          <w:highlight w:val="none"/>
        </w:rPr>
        <w:t>年8月3</w:t>
      </w:r>
      <w:r>
        <w:rPr>
          <w:rFonts w:ascii="楷体" w:hAnsi="楷体" w:eastAsia="楷体" w:cs="Calibri"/>
          <w:sz w:val="24"/>
          <w:szCs w:val="24"/>
          <w:highlight w:val="none"/>
        </w:rPr>
        <w:t>0</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W份额于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30</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份额登记；X份额于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27</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份额登记；S份额于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31</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份额登记；J份额于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9</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26</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份额登记；DG2份额于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份额登记；WS份额于</w:t>
      </w:r>
      <w:r>
        <w:rPr>
          <w:rFonts w:hint="eastAsia" w:ascii="楷体" w:hAnsi="楷体" w:eastAsia="楷体" w:cs="Calibri"/>
          <w:sz w:val="24"/>
          <w:szCs w:val="24"/>
          <w:highlight w:val="none"/>
        </w:rPr>
        <w:t>20</w:t>
      </w:r>
      <w:r>
        <w:rPr>
          <w:rFonts w:hint="eastAsia" w:ascii="楷体" w:hAnsi="楷体" w:eastAsia="楷体" w:cs="Calibri"/>
          <w:sz w:val="24"/>
          <w:szCs w:val="24"/>
          <w:highlight w:val="none"/>
          <w:lang w:val="en-US" w:eastAsia="zh-CN"/>
        </w:rPr>
        <w:t>24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9</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30</w:t>
      </w:r>
      <w:r>
        <w:rPr>
          <w:rFonts w:hint="eastAsia" w:ascii="楷体" w:hAnsi="楷体" w:eastAsia="楷体" w:cs="Calibri"/>
          <w:sz w:val="24"/>
          <w:szCs w:val="24"/>
          <w:highlight w:val="none"/>
        </w:rPr>
        <w:t>日进行</w:t>
      </w:r>
      <w:r>
        <w:rPr>
          <w:rFonts w:hint="eastAsia" w:ascii="楷体" w:hAnsi="楷体" w:eastAsia="楷体" w:cs="Calibri"/>
          <w:sz w:val="24"/>
          <w:szCs w:val="24"/>
          <w:highlight w:val="none"/>
          <w:lang w:val="en-US" w:eastAsia="zh-CN"/>
        </w:rPr>
        <w:t>份额登记。DG3份额于2025年1月17日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认购份额的计算</w:t>
      </w:r>
    </w:p>
    <w:p>
      <w:pPr>
        <w:ind w:firstLine="480" w:firstLineChars="200"/>
        <w:rPr>
          <w:rFonts w:ascii="楷体" w:hAnsi="楷体" w:eastAsia="楷体"/>
          <w:sz w:val="24"/>
          <w:szCs w:val="24"/>
          <w:highlight w:val="none"/>
        </w:rPr>
      </w:pPr>
      <w:r>
        <w:rPr>
          <w:rFonts w:ascii="楷体" w:hAnsi="楷体" w:eastAsia="楷体"/>
          <w:sz w:val="24"/>
          <w:szCs w:val="24"/>
          <w:highlight w:val="none"/>
        </w:rPr>
        <w:t>认购份额=</w:t>
      </w:r>
      <w:r>
        <w:rPr>
          <w:rFonts w:hint="eastAsia" w:ascii="楷体" w:hAnsi="楷体" w:eastAsia="楷体"/>
          <w:sz w:val="24"/>
          <w:szCs w:val="24"/>
          <w:highlight w:val="none"/>
        </w:rPr>
        <w:t>认购金额</w:t>
      </w:r>
      <w:r>
        <w:rPr>
          <w:rFonts w:ascii="楷体" w:hAnsi="楷体" w:eastAsia="楷体"/>
          <w:sz w:val="24"/>
          <w:szCs w:val="24"/>
          <w:highlight w:val="none"/>
        </w:rPr>
        <w:t>/</w:t>
      </w:r>
      <w:r>
        <w:rPr>
          <w:rFonts w:hint="eastAsia" w:ascii="楷体" w:hAnsi="楷体" w:eastAsia="楷体"/>
          <w:sz w:val="24"/>
          <w:szCs w:val="24"/>
          <w:highlight w:val="none"/>
        </w:rPr>
        <w:t>产品成立时单位净值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产品成立时单位净值为1元/份，</w:t>
      </w:r>
      <w:r>
        <w:rPr>
          <w:rFonts w:ascii="楷体" w:hAnsi="楷体" w:eastAsia="楷体"/>
          <w:sz w:val="24"/>
          <w:szCs w:val="24"/>
          <w:highlight w:val="none"/>
        </w:rPr>
        <w:t>认购份额</w:t>
      </w:r>
      <w:r>
        <w:rPr>
          <w:rFonts w:hint="eastAsia" w:ascii="楷体" w:hAnsi="楷体" w:eastAsia="楷体"/>
          <w:sz w:val="24"/>
          <w:szCs w:val="24"/>
          <w:highlight w:val="none"/>
        </w:rPr>
        <w:t>以四舍五入的方法保留到小数点后两位。</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产品申购、赎回</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申购</w:t>
      </w:r>
      <w:r>
        <w:rPr>
          <w:rFonts w:ascii="楷体" w:hAnsi="楷体" w:eastAsia="楷体" w:cs="Calibri"/>
          <w:b/>
          <w:sz w:val="24"/>
          <w:szCs w:val="24"/>
          <w:highlight w:val="none"/>
        </w:rPr>
        <w:t>及申购资金的清算</w:t>
      </w:r>
    </w:p>
    <w:p>
      <w:pPr>
        <w:numPr>
          <w:ilvl w:val="0"/>
          <w:numId w:val="14"/>
        </w:numPr>
        <w:tabs>
          <w:tab w:val="left" w:pos="728"/>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申购期</w:t>
      </w:r>
      <w:r>
        <w:rPr>
          <w:rFonts w:hint="eastAsia" w:ascii="楷体" w:hAnsi="楷体" w:eastAsia="楷体" w:cs="Calibri"/>
          <w:sz w:val="24"/>
          <w:szCs w:val="24"/>
          <w:highlight w:val="none"/>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申购原则</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单一投资者单日累计申购上限：DG2份额暂无，其他份额5000万元，超过单日累计申购上限时，管理人有权拒绝投资者的申购申请。产品存续期内管理人有权根据实际情况调整单日累计申购上限。</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产品单个开放日净申购申请折算产品份额超过上一日产品总份额</w:t>
      </w:r>
      <w:r>
        <w:rPr>
          <w:rFonts w:ascii="楷体" w:hAnsi="楷体" w:eastAsia="楷体" w:cs="Calibri"/>
          <w:sz w:val="24"/>
          <w:szCs w:val="24"/>
          <w:highlight w:val="none"/>
        </w:rPr>
        <w:t>20%时</w:t>
      </w:r>
      <w:r>
        <w:rPr>
          <w:rFonts w:hint="eastAsia" w:ascii="楷体" w:hAnsi="楷体" w:eastAsia="楷体" w:cs="Calibri"/>
          <w:sz w:val="24"/>
          <w:szCs w:val="24"/>
          <w:highlight w:val="none"/>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单一投资者持有上限如下：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4"/>
        <w:gridCol w:w="2400"/>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tcPr>
          <w:p>
            <w:pPr>
              <w:tabs>
                <w:tab w:val="left" w:pos="993"/>
              </w:tabs>
              <w:jc w:val="center"/>
              <w:rPr>
                <w:rFonts w:ascii="楷体" w:hAnsi="楷体" w:eastAsia="楷体" w:cs="Calibri"/>
                <w:sz w:val="24"/>
                <w:szCs w:val="24"/>
                <w:highlight w:val="none"/>
              </w:rPr>
            </w:pPr>
            <w:r>
              <w:rPr>
                <w:rFonts w:hint="eastAsia" w:ascii="楷体" w:hAnsi="楷体" w:eastAsia="楷体" w:cs="Calibri"/>
                <w:szCs w:val="21"/>
                <w:highlight w:val="none"/>
              </w:rPr>
              <w:t>销售名称</w:t>
            </w:r>
          </w:p>
        </w:tc>
        <w:tc>
          <w:tcPr>
            <w:tcW w:w="2400" w:type="dxa"/>
          </w:tcPr>
          <w:p>
            <w:pPr>
              <w:tabs>
                <w:tab w:val="left" w:pos="993"/>
              </w:tabs>
              <w:jc w:val="center"/>
              <w:rPr>
                <w:rFonts w:ascii="楷体" w:hAnsi="楷体" w:eastAsia="楷体" w:cs="Calibri"/>
                <w:sz w:val="24"/>
                <w:szCs w:val="24"/>
                <w:highlight w:val="none"/>
              </w:rPr>
            </w:pPr>
            <w:r>
              <w:rPr>
                <w:rFonts w:hint="eastAsia" w:ascii="楷体" w:hAnsi="楷体" w:eastAsia="楷体" w:cs="Calibri"/>
                <w:szCs w:val="21"/>
                <w:highlight w:val="none"/>
              </w:rPr>
              <w:t>销售代码</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单一投资者持有上限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sz w:val="24"/>
                <w:szCs w:val="24"/>
                <w:highlight w:val="none"/>
                <w:lang w:eastAsia="zh-CN"/>
              </w:rPr>
            </w:pPr>
            <w:r>
              <w:rPr>
                <w:rFonts w:hint="eastAsia" w:ascii="楷体" w:hAnsi="楷体" w:eastAsia="楷体" w:cs="宋体"/>
                <w:spacing w:val="-2"/>
                <w:szCs w:val="21"/>
                <w:highlight w:val="none"/>
              </w:rPr>
              <w:t>苏银理财</w:t>
            </w:r>
            <w:r>
              <w:rPr>
                <w:rFonts w:hint="eastAsia" w:ascii="楷体" w:hAnsi="楷体" w:eastAsia="楷体" w:cs="Calibri"/>
                <w:szCs w:val="21"/>
                <w:highlight w:val="none"/>
              </w:rPr>
              <w:t>启源现金1号</w:t>
            </w:r>
            <w:r>
              <w:rPr>
                <w:rFonts w:hint="eastAsia" w:ascii="楷体" w:hAnsi="楷体" w:eastAsia="楷体" w:cs="Calibri"/>
                <w:szCs w:val="21"/>
                <w:highlight w:val="none"/>
                <w:lang w:val="en-US" w:eastAsia="zh-CN"/>
              </w:rPr>
              <w:t>A</w:t>
            </w:r>
          </w:p>
        </w:tc>
        <w:tc>
          <w:tcPr>
            <w:tcW w:w="2400" w:type="dxa"/>
            <w:vAlign w:val="center"/>
          </w:tcPr>
          <w:p>
            <w:pPr>
              <w:tabs>
                <w:tab w:val="left" w:pos="993"/>
              </w:tabs>
              <w:jc w:val="center"/>
              <w:rPr>
                <w:rFonts w:ascii="楷体" w:hAnsi="楷体" w:eastAsia="楷体" w:cs="Calibri"/>
                <w:sz w:val="24"/>
                <w:szCs w:val="24"/>
                <w:highlight w:val="none"/>
              </w:rPr>
            </w:pPr>
            <w:r>
              <w:rPr>
                <w:rFonts w:cs="Calibri"/>
                <w:sz w:val="18"/>
                <w:szCs w:val="18"/>
                <w:highlight w:val="none"/>
              </w:rPr>
              <w:t>J183008SA819</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sz w:val="24"/>
                <w:szCs w:val="24"/>
                <w:highlight w:val="none"/>
                <w:lang w:eastAsia="zh-CN"/>
              </w:rPr>
            </w:pPr>
            <w:r>
              <w:rPr>
                <w:rFonts w:hint="eastAsia" w:ascii="楷体" w:hAnsi="楷体" w:eastAsia="楷体" w:cs="宋体"/>
                <w:spacing w:val="-2"/>
                <w:szCs w:val="21"/>
                <w:highlight w:val="none"/>
                <w:lang w:eastAsia="zh-CN"/>
              </w:rPr>
              <w:t>苏银理财启源现金1号（代发专享）</w:t>
            </w:r>
          </w:p>
        </w:tc>
        <w:tc>
          <w:tcPr>
            <w:tcW w:w="2400" w:type="dxa"/>
            <w:vAlign w:val="center"/>
          </w:tcPr>
          <w:p>
            <w:pPr>
              <w:tabs>
                <w:tab w:val="left" w:pos="993"/>
              </w:tabs>
              <w:jc w:val="center"/>
              <w:rPr>
                <w:rFonts w:ascii="楷体" w:hAnsi="楷体" w:eastAsia="楷体" w:cs="Calibri"/>
                <w:sz w:val="24"/>
                <w:szCs w:val="24"/>
                <w:highlight w:val="none"/>
              </w:rPr>
            </w:pPr>
            <w:r>
              <w:rPr>
                <w:rFonts w:cs="Calibri"/>
                <w:sz w:val="18"/>
                <w:szCs w:val="18"/>
                <w:highlight w:val="none"/>
              </w:rPr>
              <w:t>J183008SA81B</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sz w:val="24"/>
                <w:szCs w:val="24"/>
                <w:highlight w:val="none"/>
                <w:lang w:eastAsia="zh-CN"/>
              </w:rPr>
            </w:pPr>
            <w:r>
              <w:rPr>
                <w:rFonts w:hint="eastAsia" w:ascii="楷体" w:hAnsi="楷体" w:eastAsia="楷体" w:cs="宋体"/>
                <w:spacing w:val="-2"/>
                <w:szCs w:val="21"/>
                <w:highlight w:val="none"/>
              </w:rPr>
              <w:t>苏银理财</w:t>
            </w:r>
            <w:r>
              <w:rPr>
                <w:rFonts w:hint="eastAsia" w:ascii="楷体" w:hAnsi="楷体" w:eastAsia="楷体" w:cs="Calibri"/>
                <w:szCs w:val="21"/>
                <w:highlight w:val="none"/>
              </w:rPr>
              <w:t>启源现金1号</w:t>
            </w:r>
            <w:r>
              <w:rPr>
                <w:rFonts w:hint="eastAsia" w:ascii="楷体" w:hAnsi="楷体" w:eastAsia="楷体" w:cs="Calibri"/>
                <w:szCs w:val="21"/>
                <w:highlight w:val="none"/>
                <w:lang w:val="en-US" w:eastAsia="zh-CN"/>
              </w:rPr>
              <w:t>DG</w:t>
            </w:r>
          </w:p>
        </w:tc>
        <w:tc>
          <w:tcPr>
            <w:tcW w:w="2400" w:type="dxa"/>
            <w:vAlign w:val="center"/>
          </w:tcPr>
          <w:p>
            <w:pPr>
              <w:tabs>
                <w:tab w:val="left" w:pos="993"/>
              </w:tabs>
              <w:jc w:val="center"/>
              <w:rPr>
                <w:rFonts w:ascii="楷体" w:hAnsi="楷体" w:eastAsia="楷体" w:cs="Calibri"/>
                <w:sz w:val="24"/>
                <w:szCs w:val="24"/>
                <w:highlight w:val="none"/>
              </w:rPr>
            </w:pPr>
            <w:r>
              <w:rPr>
                <w:rFonts w:cs="Calibri"/>
                <w:sz w:val="18"/>
                <w:szCs w:val="18"/>
                <w:highlight w:val="none"/>
              </w:rPr>
              <w:t>J183008SB81C</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sz w:val="24"/>
                <w:szCs w:val="24"/>
                <w:highlight w:val="none"/>
                <w:lang w:eastAsia="zh-CN"/>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eastAsia="zh-CN"/>
              </w:rPr>
              <w:t>E</w:t>
            </w:r>
          </w:p>
        </w:tc>
        <w:tc>
          <w:tcPr>
            <w:tcW w:w="2400" w:type="dxa"/>
            <w:vAlign w:val="center"/>
          </w:tcPr>
          <w:p>
            <w:pPr>
              <w:tabs>
                <w:tab w:val="left" w:pos="993"/>
              </w:tabs>
              <w:jc w:val="center"/>
              <w:rPr>
                <w:rFonts w:ascii="楷体" w:hAnsi="楷体" w:eastAsia="楷体" w:cs="Calibri"/>
                <w:sz w:val="24"/>
                <w:szCs w:val="24"/>
                <w:highlight w:val="none"/>
              </w:rPr>
            </w:pPr>
            <w:r>
              <w:rPr>
                <w:rFonts w:cs="Calibri"/>
                <w:sz w:val="18"/>
                <w:szCs w:val="18"/>
                <w:highlight w:val="none"/>
              </w:rPr>
              <w:t>J183008SA81</w:t>
            </w:r>
            <w:r>
              <w:rPr>
                <w:rFonts w:hint="eastAsia" w:cs="Calibri"/>
                <w:sz w:val="18"/>
                <w:szCs w:val="18"/>
                <w:highlight w:val="none"/>
              </w:rPr>
              <w:t>D</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sz w:val="24"/>
                <w:szCs w:val="24"/>
                <w:highlight w:val="none"/>
                <w:lang w:eastAsia="zh-CN"/>
              </w:rPr>
            </w:pPr>
            <w:r>
              <w:rPr>
                <w:rFonts w:hint="eastAsia" w:ascii="楷体" w:hAnsi="楷体" w:eastAsia="楷体" w:cs="宋体"/>
                <w:spacing w:val="-2"/>
                <w:szCs w:val="21"/>
                <w:highlight w:val="none"/>
              </w:rPr>
              <w:t>苏银理财启源现金 1 号</w:t>
            </w:r>
            <w:r>
              <w:rPr>
                <w:rFonts w:hint="eastAsia" w:ascii="楷体" w:hAnsi="楷体" w:eastAsia="楷体" w:cs="宋体"/>
                <w:spacing w:val="-2"/>
                <w:szCs w:val="21"/>
                <w:highlight w:val="none"/>
                <w:lang w:eastAsia="zh-CN"/>
              </w:rPr>
              <w:t>H</w:t>
            </w:r>
          </w:p>
        </w:tc>
        <w:tc>
          <w:tcPr>
            <w:tcW w:w="2400" w:type="dxa"/>
            <w:vAlign w:val="center"/>
          </w:tcPr>
          <w:p>
            <w:pPr>
              <w:tabs>
                <w:tab w:val="left" w:pos="993"/>
              </w:tabs>
              <w:jc w:val="center"/>
              <w:rPr>
                <w:rFonts w:ascii="楷体" w:hAnsi="楷体" w:eastAsia="楷体" w:cs="Calibri"/>
                <w:sz w:val="24"/>
                <w:szCs w:val="24"/>
                <w:highlight w:val="none"/>
              </w:rPr>
            </w:pPr>
            <w:r>
              <w:rPr>
                <w:rFonts w:hint="eastAsia" w:cs="Calibri"/>
                <w:sz w:val="18"/>
                <w:szCs w:val="18"/>
                <w:highlight w:val="none"/>
              </w:rPr>
              <w:t xml:space="preserve">J01623 </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ascii="楷体" w:hAnsi="楷体" w:eastAsia="楷体" w:cs="Calibri"/>
                <w:sz w:val="24"/>
                <w:szCs w:val="24"/>
                <w:highlight w:val="none"/>
              </w:rPr>
            </w:pPr>
            <w:r>
              <w:rPr>
                <w:rFonts w:hint="eastAsia" w:ascii="楷体" w:hAnsi="楷体" w:eastAsia="楷体" w:cs="宋体"/>
                <w:spacing w:val="-2"/>
                <w:szCs w:val="21"/>
                <w:highlight w:val="none"/>
              </w:rPr>
              <w:t>苏银理财启源现金 1 号F</w:t>
            </w:r>
          </w:p>
        </w:tc>
        <w:tc>
          <w:tcPr>
            <w:tcW w:w="2400" w:type="dxa"/>
            <w:vAlign w:val="center"/>
          </w:tcPr>
          <w:p>
            <w:pPr>
              <w:tabs>
                <w:tab w:val="left" w:pos="993"/>
              </w:tabs>
              <w:jc w:val="center"/>
              <w:rPr>
                <w:rFonts w:ascii="楷体" w:hAnsi="楷体" w:eastAsia="楷体" w:cs="Calibri"/>
                <w:sz w:val="24"/>
                <w:szCs w:val="24"/>
                <w:highlight w:val="none"/>
              </w:rPr>
            </w:pPr>
            <w:r>
              <w:rPr>
                <w:rFonts w:hint="eastAsia" w:cs="Calibri"/>
                <w:sz w:val="18"/>
                <w:szCs w:val="18"/>
                <w:highlight w:val="none"/>
              </w:rPr>
              <w:t>J02008</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ascii="楷体" w:hAnsi="楷体" w:eastAsia="楷体" w:cs="宋体"/>
                <w:spacing w:val="-2"/>
                <w:szCs w:val="21"/>
                <w:highlight w:val="none"/>
              </w:rPr>
            </w:pPr>
            <w:r>
              <w:rPr>
                <w:rFonts w:hint="eastAsia" w:ascii="楷体" w:hAnsi="楷体" w:eastAsia="楷体" w:cs="宋体"/>
                <w:spacing w:val="-2"/>
                <w:szCs w:val="21"/>
                <w:highlight w:val="none"/>
              </w:rPr>
              <w:t>苏银理财启源现金1号G</w:t>
            </w:r>
          </w:p>
        </w:tc>
        <w:tc>
          <w:tcPr>
            <w:tcW w:w="2400" w:type="dxa"/>
            <w:vAlign w:val="center"/>
          </w:tcPr>
          <w:p>
            <w:pPr>
              <w:tabs>
                <w:tab w:val="left" w:pos="993"/>
              </w:tabs>
              <w:jc w:val="center"/>
              <w:rPr>
                <w:rFonts w:cs="Calibri"/>
                <w:sz w:val="18"/>
                <w:szCs w:val="18"/>
                <w:highlight w:val="none"/>
              </w:rPr>
            </w:pPr>
            <w:r>
              <w:rPr>
                <w:rFonts w:hint="eastAsia" w:cs="Calibri"/>
                <w:sz w:val="18"/>
                <w:szCs w:val="18"/>
                <w:highlight w:val="none"/>
              </w:rPr>
              <w:t>J02158</w:t>
            </w:r>
          </w:p>
        </w:tc>
        <w:tc>
          <w:tcPr>
            <w:tcW w:w="2808" w:type="dxa"/>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W</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J02415</w:t>
            </w:r>
          </w:p>
        </w:tc>
        <w:tc>
          <w:tcPr>
            <w:tcW w:w="2808" w:type="dxa"/>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X</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J02561</w:t>
            </w:r>
          </w:p>
        </w:tc>
        <w:tc>
          <w:tcPr>
            <w:tcW w:w="2808" w:type="dxa"/>
            <w:vAlign w:val="top"/>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S</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ascii="Times New Roman" w:hAnsi="Times New Roman" w:eastAsia="宋体" w:cs="Calibri"/>
                <w:kern w:val="2"/>
                <w:sz w:val="18"/>
                <w:szCs w:val="18"/>
                <w:highlight w:val="none"/>
                <w:lang w:val="en-US" w:eastAsia="zh-CN" w:bidi="ar-SA"/>
              </w:rPr>
              <w:t>J02626</w:t>
            </w:r>
          </w:p>
        </w:tc>
        <w:tc>
          <w:tcPr>
            <w:tcW w:w="2808" w:type="dxa"/>
            <w:vAlign w:val="top"/>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J</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ascii="Times New Roman" w:hAnsi="Times New Roman" w:eastAsia="宋体" w:cs="Calibri"/>
                <w:kern w:val="2"/>
                <w:sz w:val="18"/>
                <w:szCs w:val="18"/>
                <w:highlight w:val="none"/>
                <w:lang w:val="en-US" w:eastAsia="zh-CN" w:bidi="ar-SA"/>
              </w:rPr>
              <w:t>J026</w:t>
            </w:r>
            <w:r>
              <w:rPr>
                <w:rFonts w:hint="eastAsia" w:cs="Calibri"/>
                <w:kern w:val="2"/>
                <w:sz w:val="18"/>
                <w:szCs w:val="18"/>
                <w:highlight w:val="none"/>
                <w:lang w:val="en-US" w:eastAsia="zh-CN" w:bidi="ar-SA"/>
              </w:rPr>
              <w:t>92</w:t>
            </w:r>
          </w:p>
        </w:tc>
        <w:tc>
          <w:tcPr>
            <w:tcW w:w="2808" w:type="dxa"/>
            <w:vAlign w:val="top"/>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default" w:ascii="楷体" w:hAnsi="楷体" w:eastAsia="楷体" w:cs="宋体"/>
                <w:spacing w:val="-2"/>
                <w:szCs w:val="21"/>
                <w:highlight w:val="none"/>
                <w:lang w:val="en-US"/>
              </w:rPr>
            </w:pPr>
            <w:r>
              <w:rPr>
                <w:rFonts w:hint="eastAsia" w:ascii="楷体" w:hAnsi="楷体" w:eastAsia="楷体" w:cs="宋体"/>
                <w:spacing w:val="-2"/>
                <w:szCs w:val="21"/>
                <w:highlight w:val="none"/>
              </w:rPr>
              <w:t>苏银理财</w:t>
            </w:r>
            <w:r>
              <w:rPr>
                <w:rFonts w:hint="eastAsia" w:ascii="楷体" w:hAnsi="楷体" w:eastAsia="楷体" w:cs="Calibri"/>
                <w:szCs w:val="21"/>
                <w:highlight w:val="none"/>
              </w:rPr>
              <w:t>启源现金1号</w:t>
            </w:r>
            <w:r>
              <w:rPr>
                <w:rFonts w:hint="eastAsia" w:ascii="楷体" w:hAnsi="楷体" w:eastAsia="楷体" w:cs="Calibri"/>
                <w:szCs w:val="21"/>
                <w:highlight w:val="none"/>
                <w:lang w:val="en-US" w:eastAsia="zh-CN"/>
              </w:rPr>
              <w:t>DG2</w:t>
            </w:r>
          </w:p>
        </w:tc>
        <w:tc>
          <w:tcPr>
            <w:tcW w:w="2400" w:type="dxa"/>
            <w:vAlign w:val="center"/>
          </w:tcPr>
          <w:p>
            <w:pPr>
              <w:tabs>
                <w:tab w:val="left" w:pos="993"/>
              </w:tabs>
              <w:jc w:val="center"/>
              <w:rPr>
                <w:rFonts w:hint="default" w:ascii="Times New Roman" w:hAnsi="Times New Roman" w:eastAsia="宋体" w:cs="Calibri"/>
                <w:kern w:val="2"/>
                <w:sz w:val="18"/>
                <w:szCs w:val="18"/>
                <w:highlight w:val="none"/>
                <w:lang w:val="en-US" w:eastAsia="zh-CN" w:bidi="ar-SA"/>
              </w:rPr>
            </w:pPr>
            <w:r>
              <w:rPr>
                <w:rFonts w:hint="eastAsia" w:ascii="Times New Roman" w:hAnsi="Times New Roman" w:eastAsia="宋体" w:cs="Calibri"/>
                <w:kern w:val="2"/>
                <w:sz w:val="18"/>
                <w:szCs w:val="18"/>
                <w:highlight w:val="none"/>
                <w:lang w:val="en-US" w:eastAsia="zh-CN" w:bidi="ar-SA"/>
              </w:rPr>
              <w:t>J0</w:t>
            </w:r>
            <w:r>
              <w:rPr>
                <w:rFonts w:hint="eastAsia" w:cs="Calibri"/>
                <w:kern w:val="2"/>
                <w:sz w:val="18"/>
                <w:szCs w:val="18"/>
                <w:highlight w:val="none"/>
                <w:lang w:val="en-US" w:eastAsia="zh-CN" w:bidi="ar-SA"/>
              </w:rPr>
              <w:t>3410</w:t>
            </w:r>
          </w:p>
        </w:tc>
        <w:tc>
          <w:tcPr>
            <w:tcW w:w="2808" w:type="dxa"/>
            <w:vAlign w:val="top"/>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lang w:val="en-US" w:eastAsia="zh-CN"/>
              </w:rPr>
              <w:t>5</w:t>
            </w:r>
            <w:r>
              <w:rPr>
                <w:rFonts w:hint="eastAsia" w:ascii="楷体" w:hAnsi="楷体" w:eastAsia="楷体" w:cs="Calibri"/>
                <w:szCs w:val="21"/>
                <w:highlight w:val="none"/>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宋体"/>
                <w:spacing w:val="-2"/>
                <w:szCs w:val="21"/>
                <w:highlight w:val="none"/>
                <w:lang w:val="en-US" w:eastAsia="zh-CN"/>
              </w:rPr>
              <w:t>WS</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J03552</w:t>
            </w:r>
          </w:p>
        </w:tc>
        <w:tc>
          <w:tcPr>
            <w:tcW w:w="2808" w:type="dxa"/>
            <w:vAlign w:val="top"/>
          </w:tcPr>
          <w:p>
            <w:pPr>
              <w:tabs>
                <w:tab w:val="left" w:pos="993"/>
              </w:tabs>
              <w:jc w:val="center"/>
              <w:rPr>
                <w:rFonts w:hint="eastAsia" w:ascii="楷体" w:hAnsi="楷体" w:eastAsia="楷体" w:cs="Calibri"/>
                <w:szCs w:val="21"/>
                <w:highlight w:val="none"/>
                <w:lang w:val="en-US" w:eastAsia="zh-CN"/>
              </w:rPr>
            </w:pPr>
            <w:r>
              <w:rPr>
                <w:rFonts w:hint="eastAsia" w:ascii="楷体" w:hAnsi="楷体" w:eastAsia="楷体" w:cs="Calibri"/>
                <w:szCs w:val="21"/>
                <w:highlight w:val="none"/>
              </w:rPr>
              <w:t>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苏银理财启源现金1号</w:t>
            </w:r>
            <w:r>
              <w:rPr>
                <w:rFonts w:hint="eastAsia" w:ascii="楷体" w:hAnsi="楷体" w:eastAsia="楷体" w:cs="Calibri"/>
                <w:szCs w:val="21"/>
                <w:highlight w:val="none"/>
                <w:lang w:val="en-US" w:eastAsia="zh-CN"/>
              </w:rPr>
              <w:t>DG3</w:t>
            </w:r>
          </w:p>
        </w:tc>
        <w:tc>
          <w:tcPr>
            <w:tcW w:w="2400" w:type="dxa"/>
            <w:vAlign w:val="center"/>
          </w:tcPr>
          <w:p>
            <w:pPr>
              <w:tabs>
                <w:tab w:val="left" w:pos="993"/>
              </w:tabs>
              <w:jc w:val="center"/>
              <w:rPr>
                <w:rFonts w:hint="eastAsia" w:ascii="Times New Roman" w:hAnsi="Times New Roman" w:eastAsia="宋体" w:cs="Calibri"/>
                <w:kern w:val="2"/>
                <w:sz w:val="18"/>
                <w:szCs w:val="18"/>
                <w:highlight w:val="none"/>
                <w:lang w:val="en-US" w:eastAsia="zh-CN" w:bidi="ar-SA"/>
              </w:rPr>
            </w:pPr>
            <w:r>
              <w:rPr>
                <w:rFonts w:hint="eastAsia" w:cs="Calibri"/>
                <w:sz w:val="18"/>
                <w:szCs w:val="18"/>
                <w:highlight w:val="none"/>
              </w:rPr>
              <w:t>J03760</w:t>
            </w:r>
          </w:p>
        </w:tc>
        <w:tc>
          <w:tcPr>
            <w:tcW w:w="2808" w:type="dxa"/>
            <w:vAlign w:val="top"/>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lang w:val="en-US" w:eastAsia="zh-CN"/>
              </w:rPr>
              <w:t>5</w:t>
            </w:r>
            <w:r>
              <w:rPr>
                <w:rFonts w:hint="eastAsia" w:ascii="楷体" w:hAnsi="楷体" w:eastAsia="楷体" w:cs="Calibri"/>
                <w:szCs w:val="21"/>
                <w:highlight w:val="none"/>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4" w:type="dxa"/>
            <w:vAlign w:val="center"/>
          </w:tcPr>
          <w:p>
            <w:pPr>
              <w:tabs>
                <w:tab w:val="left" w:pos="993"/>
              </w:tabs>
              <w:jc w:val="center"/>
              <w:rPr>
                <w:rFonts w:hint="eastAsia" w:ascii="楷体" w:hAnsi="楷体" w:eastAsia="楷体" w:cs="宋体"/>
                <w:spacing w:val="-2"/>
                <w:szCs w:val="21"/>
                <w:highlight w:val="none"/>
              </w:rPr>
            </w:pPr>
            <w:r>
              <w:rPr>
                <w:rFonts w:hint="eastAsia" w:ascii="楷体" w:hAnsi="楷体" w:eastAsia="楷体" w:cs="宋体"/>
                <w:spacing w:val="-2"/>
                <w:szCs w:val="21"/>
                <w:highlight w:val="none"/>
              </w:rPr>
              <w:t>苏银理财启源现金1号K</w:t>
            </w:r>
          </w:p>
        </w:tc>
        <w:tc>
          <w:tcPr>
            <w:tcW w:w="2400" w:type="dxa"/>
            <w:vAlign w:val="center"/>
          </w:tcPr>
          <w:p>
            <w:pPr>
              <w:tabs>
                <w:tab w:val="left" w:pos="993"/>
              </w:tabs>
              <w:jc w:val="center"/>
              <w:rPr>
                <w:rFonts w:hint="eastAsia" w:cs="Calibri"/>
                <w:sz w:val="18"/>
                <w:szCs w:val="18"/>
                <w:highlight w:val="none"/>
              </w:rPr>
            </w:pPr>
            <w:r>
              <w:rPr>
                <w:rFonts w:hint="eastAsia" w:cs="Calibri"/>
                <w:sz w:val="18"/>
                <w:szCs w:val="18"/>
                <w:highlight w:val="none"/>
              </w:rPr>
              <w:t>J03800</w:t>
            </w:r>
          </w:p>
        </w:tc>
        <w:tc>
          <w:tcPr>
            <w:tcW w:w="2808" w:type="dxa"/>
            <w:vAlign w:val="top"/>
          </w:tcPr>
          <w:p>
            <w:pPr>
              <w:tabs>
                <w:tab w:val="left" w:pos="993"/>
              </w:tabs>
              <w:jc w:val="center"/>
              <w:rPr>
                <w:rFonts w:hint="eastAsia" w:ascii="楷体" w:hAnsi="楷体" w:eastAsia="楷体" w:cs="Calibri"/>
                <w:szCs w:val="21"/>
                <w:highlight w:val="none"/>
                <w:lang w:val="en-US" w:eastAsia="zh-CN"/>
              </w:rPr>
            </w:pPr>
            <w:r>
              <w:rPr>
                <w:rFonts w:hint="eastAsia" w:ascii="楷体" w:hAnsi="楷体" w:eastAsia="楷体" w:cs="Calibri"/>
                <w:szCs w:val="21"/>
                <w:highlight w:val="none"/>
              </w:rPr>
              <w:t>1亿元</w:t>
            </w:r>
          </w:p>
        </w:tc>
      </w:tr>
    </w:tbl>
    <w:p>
      <w:pPr>
        <w:tabs>
          <w:tab w:val="left" w:pos="1092"/>
        </w:tabs>
        <w:ind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u w:val="single"/>
        </w:rPr>
        <w:t>本理财产品不允许单一投资者持有份额超过本理财产品总份额的</w:t>
      </w:r>
      <w:r>
        <w:rPr>
          <w:rFonts w:ascii="楷体" w:hAnsi="楷体" w:eastAsia="楷体" w:cs="Calibri"/>
          <w:b/>
          <w:sz w:val="24"/>
          <w:szCs w:val="24"/>
          <w:highlight w:val="none"/>
          <w:u w:val="single"/>
        </w:rPr>
        <w:t>50%，</w:t>
      </w:r>
      <w:r>
        <w:rPr>
          <w:rFonts w:hint="eastAsia" w:ascii="楷体" w:hAnsi="楷体" w:eastAsia="楷体" w:cs="Calibri"/>
          <w:sz w:val="24"/>
          <w:szCs w:val="24"/>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A/代发专享/E/DG/DG2/DG3/K份额：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highlight w:val="none"/>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r>
        <w:rPr>
          <w:rFonts w:hint="eastAsia" w:ascii="楷体" w:hAnsi="楷体" w:eastAsia="楷体" w:cs="Calibri"/>
          <w:szCs w:val="21"/>
          <w:highlight w:val="none"/>
        </w:rPr>
        <w:t>。</w:t>
      </w:r>
    </w:p>
    <w:p>
      <w:pPr>
        <w:tabs>
          <w:tab w:val="left" w:pos="728"/>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highlight w:val="none"/>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ascii="楷体" w:hAnsi="楷体" w:eastAsia="楷体" w:cs="Calibri"/>
          <w:b/>
          <w:sz w:val="24"/>
          <w:szCs w:val="24"/>
          <w:highlight w:val="none"/>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赎回期</w:t>
      </w:r>
      <w:r>
        <w:rPr>
          <w:rFonts w:hint="eastAsia" w:ascii="楷体" w:hAnsi="楷体" w:eastAsia="楷体" w:cs="Calibri"/>
          <w:sz w:val="24"/>
          <w:szCs w:val="24"/>
          <w:highlight w:val="none"/>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r>
        <w:rPr>
          <w:rFonts w:hint="eastAsia" w:ascii="楷体" w:hAnsi="楷体" w:eastAsia="楷体" w:cs="Calibri"/>
          <w:b/>
          <w:sz w:val="24"/>
          <w:szCs w:val="24"/>
          <w:u w:val="single"/>
          <w:lang w:eastAsia="zh-CN"/>
        </w:rPr>
        <w:t>。</w:t>
      </w:r>
    </w:p>
    <w:p>
      <w:pPr>
        <w:numPr>
          <w:ilvl w:val="0"/>
          <w:numId w:val="16"/>
        </w:numPr>
        <w:tabs>
          <w:tab w:val="left" w:pos="728"/>
          <w:tab w:val="left" w:pos="1092"/>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赎回原则</w:t>
      </w:r>
    </w:p>
    <w:p>
      <w:pPr>
        <w:numPr>
          <w:ilvl w:val="0"/>
          <w:numId w:val="1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A/代发专享/E/DG/DG2/DG3/K份额：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highlight w:val="none"/>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r>
        <w:rPr>
          <w:rFonts w:hint="eastAsia" w:ascii="楷体" w:hAnsi="楷体" w:eastAsia="楷体" w:cs="Calibri"/>
          <w:szCs w:val="21"/>
          <w:highlight w:val="none"/>
        </w:rPr>
        <w:t>；</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投资者若触发巨额赎回条款，此时系统有权拒绝投资者的赎回申请。</w:t>
      </w:r>
    </w:p>
    <w:p>
      <w:pPr>
        <w:numPr>
          <w:ilvl w:val="0"/>
          <w:numId w:val="18"/>
        </w:numPr>
        <w:tabs>
          <w:tab w:val="left" w:pos="993"/>
        </w:tabs>
        <w:ind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快速赎回规则</w:t>
      </w:r>
    </w:p>
    <w:p>
      <w:pPr>
        <w:tabs>
          <w:tab w:val="left" w:pos="993"/>
        </w:tabs>
        <w:ind w:firstLine="482" w:firstLineChars="200"/>
        <w:rPr>
          <w:rFonts w:ascii="楷体" w:hAnsi="楷体" w:eastAsia="楷体" w:cs="Calibri"/>
          <w:b/>
          <w:bCs/>
          <w:sz w:val="24"/>
          <w:szCs w:val="24"/>
          <w:highlight w:val="none"/>
          <w:u w:val="single"/>
        </w:rPr>
      </w:pPr>
      <w:r>
        <w:rPr>
          <w:rFonts w:hint="eastAsia" w:ascii="楷体" w:hAnsi="楷体" w:eastAsia="楷体" w:cs="Calibri"/>
          <w:b/>
          <w:bCs/>
          <w:sz w:val="24"/>
          <w:szCs w:val="24"/>
          <w:highlight w:val="none"/>
          <w:u w:val="single"/>
        </w:rPr>
        <w:t>本产品销售机构可为投资者提供</w:t>
      </w:r>
      <w:r>
        <w:rPr>
          <w:rFonts w:ascii="楷体" w:hAnsi="楷体" w:eastAsia="楷体" w:cs="Calibri"/>
          <w:b/>
          <w:bCs/>
          <w:sz w:val="24"/>
          <w:szCs w:val="24"/>
          <w:highlight w:val="none"/>
          <w:u w:val="single"/>
        </w:rPr>
        <w:t xml:space="preserve"> </w:t>
      </w:r>
      <w:r>
        <w:rPr>
          <w:rFonts w:hint="eastAsia" w:ascii="楷体" w:hAnsi="楷体" w:eastAsia="楷体" w:cs="Calibri"/>
          <w:b/>
          <w:bCs/>
          <w:sz w:val="24"/>
          <w:szCs w:val="24"/>
          <w:highlight w:val="none"/>
          <w:u w:val="single"/>
        </w:rPr>
        <w:t>“快速赎回”增值服务，客户可通过销售机构渠道进行快速赎回，如无特殊情况，</w:t>
      </w:r>
      <w:r>
        <w:rPr>
          <w:rFonts w:hint="eastAsia" w:ascii="楷体" w:hAnsi="楷体" w:eastAsia="楷体" w:cs="Calibri"/>
          <w:b/>
          <w:bCs/>
          <w:sz w:val="24"/>
          <w:szCs w:val="24"/>
          <w:highlight w:val="none"/>
          <w:u w:val="single"/>
          <w:lang w:val="en-US" w:eastAsia="zh-CN"/>
        </w:rPr>
        <w:t>快速</w:t>
      </w:r>
      <w:r>
        <w:rPr>
          <w:rFonts w:hint="eastAsia" w:ascii="楷体" w:hAnsi="楷体" w:eastAsia="楷体" w:cs="Calibri"/>
          <w:b/>
          <w:bCs/>
          <w:sz w:val="24"/>
          <w:szCs w:val="24"/>
          <w:highlight w:val="none"/>
          <w:u w:val="single"/>
        </w:rPr>
        <w:t>赎回资金将于赎回申请日当日到账。</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p>
    <w:p>
      <w:pPr>
        <w:tabs>
          <w:tab w:val="left" w:pos="993"/>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每只产品每个自然日单个销售渠道为客户提供的“快速赎回”限额为1万元。</w:t>
      </w:r>
    </w:p>
    <w:p>
      <w:pPr>
        <w:tabs>
          <w:tab w:val="left" w:pos="993"/>
        </w:tabs>
        <w:ind w:firstLine="482" w:firstLineChars="200"/>
        <w:rPr>
          <w:rFonts w:ascii="楷体" w:hAnsi="楷体" w:eastAsia="楷体" w:cs="Calibri"/>
          <w:b/>
          <w:sz w:val="24"/>
          <w:szCs w:val="24"/>
          <w:highlight w:val="none"/>
        </w:rPr>
      </w:pPr>
      <w:r>
        <w:rPr>
          <w:rFonts w:ascii="楷体" w:hAnsi="楷体" w:eastAsia="楷体" w:cs="Calibri"/>
          <w:b/>
          <w:bCs/>
          <w:sz w:val="24"/>
          <w:szCs w:val="24"/>
          <w:highlight w:val="none"/>
        </w:rPr>
        <w:t>5.强制赎回费</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本理财计划出现以下情形之一时将有权收取强制赎回费：</w:t>
      </w:r>
    </w:p>
    <w:p>
      <w:pPr>
        <w:ind w:left="115" w:right="115" w:rightChars="55" w:firstLine="236" w:firstLineChars="1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1）</w:t>
      </w:r>
      <w:r>
        <w:rPr>
          <w:rFonts w:hint="eastAsia" w:ascii="楷体" w:hAnsi="楷体" w:eastAsia="楷体" w:cs="宋体"/>
          <w:b/>
          <w:spacing w:val="-2"/>
          <w:sz w:val="24"/>
          <w:szCs w:val="24"/>
          <w:highlight w:val="none"/>
          <w:u w:val="single"/>
        </w:rPr>
        <w:t>在满足相关流动性风险管理要求的前提下，当本产品持有的现金、国债、中央银行票据、政策性金融债券以及</w:t>
      </w:r>
      <w:r>
        <w:rPr>
          <w:rFonts w:ascii="楷体" w:hAnsi="楷体" w:eastAsia="楷体" w:cs="宋体"/>
          <w:b/>
          <w:spacing w:val="-2"/>
          <w:sz w:val="24"/>
          <w:szCs w:val="24"/>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highlight w:val="none"/>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highlight w:val="none"/>
          <w:u w:val="singl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highlight w:val="none"/>
          <w:u w:val="single"/>
        </w:rPr>
        <w:t>管理人有权对投资者超过本产品总份额</w:t>
      </w:r>
      <w:r>
        <w:rPr>
          <w:rFonts w:ascii="楷体" w:hAnsi="楷体" w:eastAsia="楷体" w:cs="宋体"/>
          <w:b/>
          <w:spacing w:val="-2"/>
          <w:sz w:val="24"/>
          <w:szCs w:val="24"/>
          <w:highlight w:val="none"/>
          <w:u w:val="single"/>
        </w:rPr>
        <w:t>1%以上的赎回申请征收1%的强制赎回费用。</w:t>
      </w:r>
    </w:p>
    <w:p>
      <w:pPr>
        <w:ind w:right="115" w:rightChars="55" w:firstLine="472" w:firstLineChars="2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巨额赎回</w:t>
      </w:r>
    </w:p>
    <w:p>
      <w:pPr>
        <w:numPr>
          <w:ilvl w:val="0"/>
          <w:numId w:val="19"/>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巨额赎回的认定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理财产品每个开放日投资者净赎回申请（赎回申请份额总数扣除申购申请份额总数）超过本理财产品上一工作日日终总份额</w:t>
      </w:r>
      <w:r>
        <w:rPr>
          <w:rFonts w:ascii="楷体" w:hAnsi="楷体" w:eastAsia="楷体"/>
          <w:sz w:val="24"/>
          <w:szCs w:val="24"/>
          <w:highlight w:val="none"/>
        </w:rPr>
        <w:t>10%时，即认定为发生巨额赎回。</w:t>
      </w:r>
    </w:p>
    <w:p>
      <w:pPr>
        <w:numPr>
          <w:ilvl w:val="0"/>
          <w:numId w:val="19"/>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巨额赎回的处理</w:t>
      </w:r>
    </w:p>
    <w:p>
      <w:pPr>
        <w:ind w:firstLine="480" w:firstLineChars="200"/>
        <w:rPr>
          <w:rStyle w:val="19"/>
          <w:highlight w:val="none"/>
        </w:rPr>
      </w:pPr>
      <w:r>
        <w:rPr>
          <w:rFonts w:hint="eastAsia" w:ascii="楷体" w:hAnsi="楷体" w:eastAsia="楷体"/>
          <w:sz w:val="24"/>
          <w:szCs w:val="24"/>
          <w:highlight w:val="none"/>
        </w:rPr>
        <w:t>发生巨额赎回时，当日办理的赎回份额不得低于前一日终理财产品总份额的</w:t>
      </w:r>
      <w:r>
        <w:rPr>
          <w:rFonts w:ascii="楷体" w:hAnsi="楷体" w:eastAsia="楷体"/>
          <w:sz w:val="24"/>
          <w:szCs w:val="24"/>
          <w:highlight w:val="none"/>
        </w:rPr>
        <w:t>10%，对其余赎回申请管理人有权</w:t>
      </w:r>
      <w:r>
        <w:rPr>
          <w:rFonts w:hint="eastAsia" w:ascii="楷体" w:hAnsi="楷体" w:eastAsia="楷体"/>
          <w:sz w:val="24"/>
          <w:szCs w:val="24"/>
          <w:highlight w:val="none"/>
        </w:rPr>
        <w:t>选择全额赎回、部分赎回或延缓支付赎回款项</w:t>
      </w:r>
      <w:r>
        <w:rPr>
          <w:rFonts w:ascii="楷体" w:hAnsi="楷体" w:eastAsia="楷体"/>
          <w:sz w:val="24"/>
          <w:szCs w:val="24"/>
          <w:highlight w:val="none"/>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（1）全额赎回：当产品管理人有能力兑付投资者的全部赎回申请时，将在申请确认日按投资者申请赎回份额执行正常赎回程序。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（2）部分赎回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示例：客户当日申请赎回份额5万份，当日全部赎回申请1亿份，假设前一日存续份额5亿份，发生巨额赎回，管理人当日办理的赎回份额5000万份，则客户当日确认办理的份额为5/10000*5000=2.5万份。</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若管理人对于超过</w:t>
      </w:r>
      <w:r>
        <w:rPr>
          <w:rFonts w:ascii="楷体" w:hAnsi="楷体" w:eastAsia="楷体"/>
          <w:sz w:val="24"/>
          <w:szCs w:val="24"/>
          <w:highlight w:val="none"/>
        </w:rPr>
        <w:t>10%以上部分的赎回申请</w:t>
      </w:r>
      <w:r>
        <w:rPr>
          <w:rFonts w:hint="eastAsia" w:ascii="楷体" w:hAnsi="楷体" w:eastAsia="楷体"/>
          <w:sz w:val="24"/>
          <w:szCs w:val="24"/>
          <w:highlight w:val="none"/>
        </w:rPr>
        <w:t>选择延期办理，对于未确认受理的赎回申请份额，投资者</w:t>
      </w:r>
      <w:r>
        <w:rPr>
          <w:rFonts w:ascii="楷体" w:hAnsi="楷体" w:eastAsia="楷体"/>
          <w:sz w:val="24"/>
          <w:szCs w:val="24"/>
          <w:highlight w:val="none"/>
        </w:rPr>
        <w:t>可</w:t>
      </w:r>
      <w:r>
        <w:rPr>
          <w:rFonts w:hint="eastAsia" w:ascii="楷体" w:hAnsi="楷体" w:eastAsia="楷体"/>
          <w:sz w:val="24"/>
          <w:szCs w:val="24"/>
          <w:highlight w:val="none"/>
        </w:rPr>
        <w:t>选择将当日未获受理部分予以撤销，未选择撤销的赎回申请，产品</w:t>
      </w:r>
      <w:r>
        <w:rPr>
          <w:rFonts w:ascii="楷体" w:hAnsi="楷体" w:eastAsia="楷体"/>
          <w:sz w:val="24"/>
          <w:szCs w:val="24"/>
          <w:highlight w:val="none"/>
        </w:rPr>
        <w:t>管理人可以</w:t>
      </w:r>
      <w:r>
        <w:rPr>
          <w:rFonts w:hint="eastAsia" w:ascii="楷体" w:hAnsi="楷体" w:eastAsia="楷体"/>
          <w:sz w:val="24"/>
          <w:szCs w:val="24"/>
          <w:highlight w:val="none"/>
        </w:rPr>
        <w:t>延迟至下一开放日处理，转入下一开放日的赎回申请不享有优先确认权。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w:t>
      </w:r>
      <w:r>
        <w:rPr>
          <w:rFonts w:ascii="楷体" w:hAnsi="楷体" w:eastAsia="楷体"/>
          <w:sz w:val="24"/>
          <w:szCs w:val="24"/>
          <w:highlight w:val="none"/>
        </w:rPr>
        <w:t>3</w:t>
      </w:r>
      <w:r>
        <w:rPr>
          <w:rFonts w:hint="eastAsia" w:ascii="楷体" w:hAnsi="楷体" w:eastAsia="楷体"/>
          <w:sz w:val="24"/>
          <w:szCs w:val="24"/>
          <w:highlight w:val="none"/>
        </w:rPr>
        <w:t>）延缓支付赎回款项：连续</w:t>
      </w:r>
      <w:r>
        <w:rPr>
          <w:rFonts w:ascii="楷体" w:hAnsi="楷体" w:eastAsia="楷体"/>
          <w:sz w:val="24"/>
          <w:szCs w:val="24"/>
          <w:highlight w:val="none"/>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highlight w:val="none"/>
        </w:rPr>
      </w:pPr>
      <w:r>
        <w:rPr>
          <w:rFonts w:hint="eastAsia" w:ascii="楷体" w:hAnsi="楷体" w:eastAsia="楷体"/>
          <w:sz w:val="24"/>
          <w:szCs w:val="24"/>
          <w:highlight w:val="none"/>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特殊情形及处理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255"/>
          <w:numId w:val="0"/>
        </w:numPr>
        <w:tabs>
          <w:tab w:val="left" w:pos="728"/>
        </w:tabs>
        <w:ind w:left="0" w:leftChars="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255"/>
          <w:numId w:val="0"/>
        </w:numPr>
        <w:tabs>
          <w:tab w:val="left" w:pos="728"/>
        </w:tabs>
        <w:ind w:left="0" w:leftChars="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255"/>
          <w:numId w:val="0"/>
        </w:numPr>
        <w:tabs>
          <w:tab w:val="left" w:pos="728"/>
        </w:tabs>
        <w:ind w:left="0" w:leftChars="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（3）超过产品规模上限</w:t>
      </w:r>
      <w:r>
        <w:rPr>
          <w:rFonts w:hint="eastAsia" w:ascii="楷体" w:hAnsi="楷体" w:eastAsia="楷体" w:cs="Calibri"/>
          <w:sz w:val="24"/>
          <w:szCs w:val="24"/>
          <w:highlight w:val="none"/>
          <w:lang w:eastAsia="zh-CN"/>
        </w:rPr>
        <w:t>。</w:t>
      </w:r>
    </w:p>
    <w:p>
      <w:pPr>
        <w:numPr>
          <w:ilvl w:val="255"/>
          <w:numId w:val="0"/>
        </w:numPr>
        <w:tabs>
          <w:tab w:val="left" w:pos="728"/>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（4）发生《理财产品说明书》约定的暂停估值的情形。（详见</w:t>
      </w:r>
      <w:r>
        <w:rPr>
          <w:rFonts w:hint="eastAsia" w:ascii="楷体" w:hAnsi="楷体" w:eastAsia="楷体" w:cs="Calibri"/>
          <w:sz w:val="24"/>
          <w:szCs w:val="24"/>
          <w:highlight w:val="none"/>
          <w:lang w:eastAsia="zh-CN"/>
        </w:rPr>
        <w:t>十</w:t>
      </w:r>
      <w:r>
        <w:rPr>
          <w:rFonts w:hint="eastAsia" w:ascii="楷体" w:hAnsi="楷体" w:eastAsia="楷体" w:cs="Calibri"/>
          <w:sz w:val="24"/>
          <w:szCs w:val="24"/>
          <w:highlight w:val="none"/>
          <w:lang w:val="en-US" w:eastAsia="zh-CN"/>
        </w:rPr>
        <w:t>二</w:t>
      </w:r>
      <w:r>
        <w:rPr>
          <w:rFonts w:hint="eastAsia" w:ascii="楷体" w:hAnsi="楷体" w:eastAsia="楷体" w:cs="Calibri"/>
          <w:sz w:val="24"/>
          <w:szCs w:val="24"/>
          <w:highlight w:val="none"/>
          <w:lang w:eastAsia="zh-CN"/>
        </w:rPr>
        <w:t>、产品估值</w:t>
      </w:r>
      <w:r>
        <w:rPr>
          <w:rFonts w:hint="eastAsia" w:ascii="楷体" w:hAnsi="楷体" w:eastAsia="楷体" w:cs="Calibri"/>
          <w:sz w:val="24"/>
          <w:szCs w:val="24"/>
          <w:highlight w:val="none"/>
        </w:rPr>
        <w:t>）</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（7）当前一估值日产品资产净值</w:t>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255"/>
          <w:numId w:val="0"/>
        </w:numPr>
        <w:tabs>
          <w:tab w:val="left" w:pos="728"/>
        </w:tabs>
        <w:ind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（3）发生《理财产品说明书》约定的暂停估值的情形。（详见</w:t>
      </w:r>
      <w:r>
        <w:rPr>
          <w:rFonts w:hint="eastAsia" w:ascii="楷体" w:hAnsi="楷体" w:eastAsia="楷体" w:cs="Calibri"/>
          <w:sz w:val="24"/>
          <w:szCs w:val="24"/>
          <w:highlight w:val="none"/>
          <w:lang w:eastAsia="zh-CN"/>
        </w:rPr>
        <w:t>十</w:t>
      </w:r>
      <w:r>
        <w:rPr>
          <w:rFonts w:hint="eastAsia" w:ascii="楷体" w:hAnsi="楷体" w:eastAsia="楷体" w:cs="Calibri"/>
          <w:sz w:val="24"/>
          <w:szCs w:val="24"/>
          <w:highlight w:val="none"/>
          <w:lang w:val="en-US" w:eastAsia="zh-CN"/>
        </w:rPr>
        <w:t>二</w:t>
      </w:r>
      <w:r>
        <w:rPr>
          <w:rFonts w:hint="eastAsia" w:ascii="楷体" w:hAnsi="楷体" w:eastAsia="楷体" w:cs="Calibri"/>
          <w:sz w:val="24"/>
          <w:szCs w:val="24"/>
          <w:highlight w:val="none"/>
          <w:lang w:eastAsia="zh-CN"/>
        </w:rPr>
        <w:t>、产品估值</w:t>
      </w:r>
      <w:r>
        <w:rPr>
          <w:rFonts w:hint="eastAsia" w:ascii="楷体" w:hAnsi="楷体" w:eastAsia="楷体" w:cs="Calibri"/>
          <w:sz w:val="24"/>
          <w:szCs w:val="24"/>
          <w:highlight w:val="none"/>
        </w:rPr>
        <w:t>）</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none"/>
        </w:rPr>
      </w:pP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收益分配</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本理财产品根据每日收益情况，以理财产品实际收益为基准，每日为投资者计提当日理财收益，每日结转为份额，投资者继续持有的红利份额可参与后续理财产品投资收益分配。</w:t>
      </w:r>
    </w:p>
    <w:p>
      <w:pPr>
        <w:numPr>
          <w:ilvl w:val="0"/>
          <w:numId w:val="2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每万份收益</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每个估值日管理人将每日投资收益扣除固定费用（包括托管费、销售费、投资管理费）、运作产品所必须缴纳的税费、业绩报酬（如有）后的盈余部分作为投资红利分配给投资者。</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单个投资者应分配红利=单个投资者当日存量份额/投资者所属份额当日存量份额总数×投资者所属份额当日投资收益，</w:t>
      </w:r>
      <w:r>
        <w:rPr>
          <w:rFonts w:hint="eastAsia" w:ascii="楷体" w:hAnsi="楷体" w:eastAsia="楷体" w:cs="Calibri"/>
          <w:sz w:val="24"/>
          <w:szCs w:val="24"/>
          <w:highlight w:val="none"/>
          <w:lang w:val="en-US" w:eastAsia="zh-CN"/>
        </w:rPr>
        <w:t>采用截位法</w:t>
      </w:r>
      <w:r>
        <w:rPr>
          <w:rFonts w:hint="eastAsia" w:ascii="楷体" w:hAnsi="楷体" w:eastAsia="楷体" w:cs="Calibri"/>
          <w:sz w:val="24"/>
          <w:szCs w:val="24"/>
          <w:highlight w:val="none"/>
        </w:rPr>
        <w:t>保留至小数点后2位。</w:t>
      </w:r>
      <w:r>
        <w:rPr>
          <w:rFonts w:hint="eastAsia" w:ascii="楷体" w:hAnsi="楷体" w:eastAsia="楷体" w:cs="Calibri"/>
          <w:b/>
          <w:bCs/>
          <w:sz w:val="24"/>
          <w:szCs w:val="24"/>
          <w:highlight w:val="none"/>
          <w:u w:val="single"/>
        </w:rPr>
        <w:t>单个投资者当日存量份额较低时，投资者持有份额可能无法获得红利。</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每万份收益=投资者所属份额当日投资收益/投资者所属份额当日存量份额总数×10000，采用截位法保留至小数点后第4位。</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产品管理人每个工作日公布上一日每万份收益。</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理财产品每万份收益仅供投资者购买时参考，并不代表本产品实际收益或未来的表现，也不构成管理人对本产品收益的任何承诺或保证，产品收益以管理人实际支付为准。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七日年化收益率</w:t>
      </w:r>
    </w:p>
    <w:p>
      <w:pPr>
        <w:ind w:firstLine="420" w:firstLineChars="200"/>
        <w:rPr>
          <w:rFonts w:ascii="楷体" w:hAnsi="楷体" w:eastAsia="楷体"/>
          <w:sz w:val="24"/>
          <w:szCs w:val="24"/>
          <w:highlight w:val="none"/>
        </w:rPr>
      </w:pPr>
      <w:r>
        <w:rPr>
          <w:rFonts w:hint="eastAsia" w:ascii="楷体" w:hAnsi="楷体" w:eastAsia="楷体"/>
          <w:position w:val="-23"/>
          <w:highlight w:val="none"/>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其中，R</w:t>
      </w:r>
      <w:r>
        <w:rPr>
          <w:rFonts w:hint="eastAsia" w:ascii="楷体" w:hAnsi="楷体" w:eastAsia="楷体" w:cs="Calibri"/>
          <w:sz w:val="24"/>
          <w:szCs w:val="24"/>
          <w:highlight w:val="none"/>
          <w:vertAlign w:val="subscript"/>
        </w:rPr>
        <w:t>i</w:t>
      </w:r>
      <w:r>
        <w:rPr>
          <w:rFonts w:hint="eastAsia" w:ascii="楷体" w:hAnsi="楷体" w:eastAsia="楷体" w:cs="Calibri"/>
          <w:sz w:val="24"/>
          <w:szCs w:val="24"/>
          <w:highlight w:val="none"/>
        </w:rPr>
        <w:t>为最近每万份理财产品收益。7日年化收益率用四舍五入保留至百分号内小数点后第2位。</w:t>
      </w:r>
    </w:p>
    <w:p>
      <w:pPr>
        <w:ind w:firstLine="480" w:firstLineChars="200"/>
        <w:rPr>
          <w:rFonts w:ascii="楷体" w:hAnsi="楷体" w:eastAsia="楷体"/>
          <w:sz w:val="24"/>
          <w:szCs w:val="24"/>
          <w:highlight w:val="none"/>
        </w:rPr>
      </w:pPr>
      <w:r>
        <w:rPr>
          <w:rFonts w:hint="eastAsia" w:ascii="楷体" w:hAnsi="楷体" w:eastAsia="楷体" w:cs="Calibri"/>
          <w:sz w:val="24"/>
          <w:szCs w:val="24"/>
          <w:highlight w:val="none"/>
        </w:rPr>
        <w:t>产品</w:t>
      </w:r>
      <w:r>
        <w:rPr>
          <w:rFonts w:hint="eastAsia" w:ascii="楷体" w:hAnsi="楷体" w:eastAsia="楷体"/>
          <w:sz w:val="24"/>
          <w:szCs w:val="24"/>
          <w:highlight w:val="none"/>
        </w:rPr>
        <w:t>每个工作日公布最近7日（含节假日）收益率所折算的产品七日年化收益率。</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理财产品七日年化收益率仅供投资者购买时参考，并不代表本产品实际收益或未来的表现，也不构成管理人对本产品收益的任何承诺或保证，产品收益以管理人实际支付为准。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收益分配时间</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若当日净收益等于零，则投资者理财产品份额不变。</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若当日净收益小于零，则等比缩减投资者持有的理财产品份额，投资者将出现投资损失。</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十一、</w:t>
      </w:r>
      <w:r>
        <w:rPr>
          <w:rFonts w:hint="eastAsia" w:ascii="楷体" w:hAnsi="楷体" w:eastAsia="楷体"/>
          <w:b/>
          <w:sz w:val="28"/>
          <w:szCs w:val="28"/>
          <w:highlight w:val="none"/>
        </w:rPr>
        <w:t>产品费用</w:t>
      </w:r>
    </w:p>
    <w:p>
      <w:pPr>
        <w:numPr>
          <w:ilvl w:val="0"/>
          <w:numId w:val="2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本产品费用包括托管费、销售服务费、投资管理费以及产品运作和清算中产生的其他费用等。</w:t>
      </w:r>
    </w:p>
    <w:p>
      <w:pPr>
        <w:numPr>
          <w:ilvl w:val="0"/>
          <w:numId w:val="2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计提方法、计提标准和支付方式</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keepNext w:val="0"/>
        <w:keepLines w:val="0"/>
        <w:pageBreakBefore w:val="0"/>
        <w:widowControl w:val="0"/>
        <w:numPr>
          <w:ilvl w:val="0"/>
          <w:numId w:val="0"/>
        </w:numPr>
        <w:tabs>
          <w:tab w:val="left" w:pos="1134"/>
        </w:tabs>
        <w:kinsoku/>
        <w:wordWrap/>
        <w:overflowPunct/>
        <w:topLinePunct w:val="0"/>
        <w:autoSpaceDE/>
        <w:autoSpaceDN/>
        <w:bidi w:val="0"/>
        <w:adjustRightInd/>
        <w:snapToGrid/>
        <w:ind w:leftChars="0" w:firstLine="480" w:firstLineChars="200"/>
        <w:textAlignment w:val="auto"/>
        <w:outlineLvl w:val="9"/>
        <w:rPr>
          <w:rFonts w:hint="eastAsia" w:ascii="楷体" w:hAnsi="楷体" w:eastAsia="楷体"/>
          <w:b/>
          <w:sz w:val="28"/>
          <w:szCs w:val="28"/>
          <w:highlight w:val="none"/>
          <w:lang w:val="en-US" w:eastAsia="zh-CN"/>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r>
        <w:rPr>
          <w:rFonts w:hint="eastAsia" w:ascii="楷体" w:hAnsi="楷体" w:eastAsia="楷体"/>
          <w:sz w:val="24"/>
          <w:szCs w:val="24"/>
          <w:highlight w:val="none"/>
        </w:rPr>
        <w:t>。</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十二、</w:t>
      </w:r>
      <w:r>
        <w:rPr>
          <w:rFonts w:hint="eastAsia" w:ascii="楷体" w:hAnsi="楷体" w:eastAsia="楷体"/>
          <w:b/>
          <w:sz w:val="28"/>
          <w:szCs w:val="28"/>
          <w:highlight w:val="none"/>
        </w:rPr>
        <w:t>产品估值</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本产品所拥有的各类证券、银行存款、应收款项及其它资产和负债。</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估值要求</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本产品资产估值的目的是客观、准确的反映资产净值，确定理财产品资产净值，并为理财产品的收益分配提供计价依据。</w:t>
      </w:r>
    </w:p>
    <w:p>
      <w:pPr>
        <w:numPr>
          <w:ilvl w:val="0"/>
          <w:numId w:val="2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估值方法</w:t>
      </w:r>
    </w:p>
    <w:p>
      <w:pPr>
        <w:ind w:firstLine="480" w:firstLineChars="200"/>
        <w:rPr>
          <w:rFonts w:ascii="楷体" w:hAnsi="楷体" w:eastAsia="楷体" w:cs="Calibri"/>
          <w:sz w:val="24"/>
          <w:szCs w:val="24"/>
          <w:highlight w:val="none"/>
        </w:rPr>
      </w:pPr>
      <w:r>
        <w:rPr>
          <w:rFonts w:ascii="楷体" w:hAnsi="楷体" w:eastAsia="楷体" w:cs="Calibri"/>
          <w:sz w:val="24"/>
          <w:szCs w:val="24"/>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债券等资产采用溢折价摊销后的成本列示，按票面利率计提应收利息。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债券回购以成本列示，按协议利率在实际持有期间内逐日计提利息。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3.</w:t>
      </w:r>
      <w:r>
        <w:rPr>
          <w:rFonts w:ascii="楷体" w:hAnsi="楷体" w:eastAsia="楷体" w:cs="Calibri"/>
          <w:sz w:val="24"/>
          <w:szCs w:val="24"/>
          <w:highlight w:val="none"/>
        </w:rPr>
        <w:t>银行存款以本金列示，按银行适用利率逐日计提利息。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4.</w:t>
      </w:r>
      <w:r>
        <w:rPr>
          <w:rFonts w:ascii="楷体" w:hAnsi="楷体" w:eastAsia="楷体" w:cs="Calibri"/>
          <w:sz w:val="24"/>
          <w:szCs w:val="24"/>
          <w:highlight w:val="none"/>
        </w:rPr>
        <w:t>货币市场基金以估值截止时点能够取得的最新每万份收益进行估值。</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5.</w:t>
      </w:r>
      <w:r>
        <w:rPr>
          <w:rFonts w:ascii="楷体" w:hAnsi="楷体" w:eastAsia="楷体" w:cs="Calibri"/>
          <w:sz w:val="24"/>
          <w:szCs w:val="24"/>
          <w:highlight w:val="none"/>
        </w:rPr>
        <w:t>投资于信托计划、资产管理计划、基金等的资产：</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highlight w:val="none"/>
        </w:rPr>
        <w:br w:type="textWrapping"/>
      </w:r>
      <w:r>
        <w:rPr>
          <w:rFonts w:hint="eastAsia" w:ascii="楷体" w:hAnsi="楷体" w:eastAsia="楷体" w:cs="Calibri"/>
          <w:sz w:val="24"/>
          <w:szCs w:val="24"/>
          <w:highlight w:val="none"/>
        </w:rPr>
        <w:t xml:space="preserve"> </w:t>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若理财产品存续期间持有其他投资品种，以理财产品管理人和理财产品托管人共同认可的方法估值。</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7</w:t>
      </w:r>
      <w:r>
        <w:rPr>
          <w:rFonts w:ascii="楷体" w:hAnsi="楷体" w:eastAsia="楷体" w:cs="Calibri"/>
          <w:sz w:val="24"/>
          <w:szCs w:val="24"/>
          <w:highlight w:val="none"/>
        </w:rPr>
        <w:t>.</w:t>
      </w:r>
      <w:r>
        <w:rPr>
          <w:rFonts w:hint="eastAsia" w:ascii="楷体" w:hAnsi="楷体" w:eastAsia="楷体" w:cs="Calibri"/>
          <w:sz w:val="24"/>
          <w:szCs w:val="24"/>
          <w:highlight w:val="none"/>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highlight w:val="none"/>
        </w:rPr>
      </w:pPr>
      <w:r>
        <w:rPr>
          <w:rFonts w:hint="eastAsia" w:ascii="楷体" w:hAnsi="楷体" w:eastAsia="楷体" w:cs="Calibri"/>
          <w:sz w:val="24"/>
          <w:szCs w:val="24"/>
          <w:highlight w:val="none"/>
        </w:rPr>
        <w:t>影子定价与摊余成本法确定的现金管理类产品资产净值的偏离度＝</w:t>
      </w:r>
      <m:oMath>
        <m:f>
          <m:fPr>
            <m:ctrlPr>
              <w:rPr>
                <w:rFonts w:ascii="Cambria Math" w:hAnsi="Cambria Math" w:eastAsia="楷体" w:cs="Calibri"/>
                <w:sz w:val="28"/>
                <w:szCs w:val="24"/>
                <w:highlight w:val="none"/>
              </w:rPr>
            </m:ctrlPr>
          </m:fPr>
          <m:num>
            <m:r>
              <m:rPr>
                <m:sty m:val="p"/>
              </m:rPr>
              <w:rPr>
                <w:rFonts w:hint="eastAsia" w:ascii="Cambria Math" w:hAnsi="Cambria Math" w:eastAsia="楷体" w:cs="Calibri"/>
                <w:sz w:val="28"/>
                <w:szCs w:val="24"/>
                <w:highlight w:val="none"/>
              </w:rPr>
              <m:t>NAVs</m:t>
            </m:r>
            <m:r>
              <m:rPr>
                <m:sty m:val="p"/>
              </m:rPr>
              <w:rPr>
                <w:rFonts w:ascii="Cambria Math" w:hAnsi="Cambria Math" w:eastAsia="楷体" w:cs="Calibri"/>
                <w:sz w:val="28"/>
                <w:szCs w:val="24"/>
                <w:highlight w:val="none"/>
              </w:rPr>
              <m:t>−NAVa</m:t>
            </m:r>
            <m:ctrlPr>
              <w:rPr>
                <w:rFonts w:ascii="Cambria Math" w:hAnsi="Cambria Math" w:eastAsia="楷体" w:cs="Calibri"/>
                <w:sz w:val="28"/>
                <w:szCs w:val="24"/>
                <w:highlight w:val="none"/>
              </w:rPr>
            </m:ctrlPr>
          </m:num>
          <m:den>
            <m:r>
              <m:rPr>
                <m:sty m:val="p"/>
              </m:rPr>
              <w:rPr>
                <w:rFonts w:hint="eastAsia" w:ascii="Cambria Math" w:hAnsi="Cambria Math" w:eastAsia="楷体" w:cs="Calibri"/>
                <w:sz w:val="28"/>
                <w:szCs w:val="24"/>
                <w:highlight w:val="none"/>
              </w:rPr>
              <m:t>NAVa</m:t>
            </m:r>
            <m:ctrlPr>
              <w:rPr>
                <w:rFonts w:ascii="Cambria Math" w:hAnsi="Cambria Math" w:eastAsia="楷体" w:cs="Calibri"/>
                <w:sz w:val="28"/>
                <w:szCs w:val="24"/>
                <w:highlight w:val="none"/>
              </w:rPr>
            </m:ctrlPr>
          </m:den>
        </m:f>
      </m:oMath>
      <w:r>
        <w:rPr>
          <w:rFonts w:hint="eastAsia" w:ascii="楷体" w:hAnsi="楷体" w:eastAsia="楷体" w:cs="Calibri"/>
          <w:sz w:val="24"/>
          <w:szCs w:val="24"/>
          <w:highlight w:val="none"/>
        </w:rPr>
        <w:t xml:space="preserve">，其中，NAVs为影子定价确定的现金管理类产品资产净值，NAVa为摊余成本法确定的现金管理类产品资产净值。 </w:t>
      </w:r>
      <w:r>
        <w:rPr>
          <w:rFonts w:ascii="楷体" w:hAnsi="楷体" w:eastAsia="楷体" w:cs="Calibri"/>
          <w:sz w:val="24"/>
          <w:szCs w:val="24"/>
          <w:highlight w:val="none"/>
        </w:rPr>
        <w:t xml:space="preserve"> </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w:t>
      </w:r>
      <w:r>
        <w:rPr>
          <w:rFonts w:ascii="楷体" w:hAnsi="楷体" w:eastAsia="楷体" w:cs="Calibri"/>
          <w:sz w:val="24"/>
          <w:szCs w:val="24"/>
          <w:highlight w:val="none"/>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9.</w:t>
      </w:r>
      <w:r>
        <w:rPr>
          <w:rFonts w:ascii="楷体" w:hAnsi="楷体" w:eastAsia="楷体" w:cs="Calibri"/>
          <w:sz w:val="24"/>
          <w:szCs w:val="24"/>
          <w:highlight w:val="none"/>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按以上估值方法进行估值时，所造成的误差不作为理财产品估值错误处理。</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1</w:t>
      </w:r>
      <w:r>
        <w:rPr>
          <w:rFonts w:hint="eastAsia" w:ascii="楷体" w:hAnsi="楷体" w:eastAsia="楷体" w:cs="Calibri"/>
          <w:sz w:val="24"/>
          <w:szCs w:val="24"/>
          <w:highlight w:val="none"/>
        </w:rPr>
        <w:t>.</w:t>
      </w:r>
      <w:r>
        <w:rPr>
          <w:rFonts w:ascii="楷体" w:hAnsi="楷体" w:eastAsia="楷体" w:cs="Calibri"/>
          <w:sz w:val="24"/>
          <w:szCs w:val="24"/>
          <w:highlight w:val="none"/>
        </w:rPr>
        <w:t>扣除项：应由理财产品承担的理财产品费用和税费（如有）</w:t>
      </w:r>
      <w:r>
        <w:rPr>
          <w:rFonts w:hint="eastAsia" w:ascii="楷体" w:hAnsi="楷体" w:eastAsia="楷体" w:cs="Calibri"/>
          <w:sz w:val="24"/>
          <w:szCs w:val="24"/>
          <w:highlight w:val="non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r>
        <w:rPr>
          <w:rFonts w:hint="eastAsia" w:ascii="楷体" w:hAnsi="楷体" w:eastAsia="楷体"/>
          <w:sz w:val="24"/>
          <w:szCs w:val="24"/>
          <w:highlight w:val="none"/>
        </w:rPr>
        <w:t>。</w:t>
      </w:r>
    </w:p>
    <w:p>
      <w:pPr>
        <w:numPr>
          <w:ilvl w:val="0"/>
          <w:numId w:val="2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暂停估值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十三、</w:t>
      </w:r>
      <w:r>
        <w:rPr>
          <w:rFonts w:hint="eastAsia" w:ascii="楷体" w:hAnsi="楷体" w:eastAsia="楷体"/>
          <w:b/>
          <w:sz w:val="28"/>
          <w:szCs w:val="28"/>
          <w:highlight w:val="none"/>
        </w:rPr>
        <w:t>产品的终止与清算</w:t>
      </w:r>
    </w:p>
    <w:p>
      <w:pPr>
        <w:numPr>
          <w:ilvl w:val="0"/>
          <w:numId w:val="2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理财产品的终止</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理财产品的清算</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十四、</w:t>
      </w:r>
      <w:r>
        <w:rPr>
          <w:rFonts w:hint="eastAsia" w:ascii="楷体" w:hAnsi="楷体" w:eastAsia="楷体"/>
          <w:b/>
          <w:sz w:val="28"/>
          <w:szCs w:val="28"/>
          <w:highlight w:val="none"/>
        </w:rPr>
        <w:t>税收规定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highlight w:val="none"/>
          <w:u w:val="single"/>
        </w:rPr>
        <w:t>投资者从理财产品取得的收益应缴纳的税款，由投资者自行申报及缴纳。</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十五、</w:t>
      </w:r>
      <w:r>
        <w:rPr>
          <w:rFonts w:hint="eastAsia" w:ascii="楷体" w:hAnsi="楷体" w:eastAsia="楷体"/>
          <w:b/>
          <w:sz w:val="28"/>
          <w:szCs w:val="28"/>
          <w:highlight w:val="none"/>
        </w:rPr>
        <w:t>产品托管人</w:t>
      </w:r>
    </w:p>
    <w:p>
      <w:pPr>
        <w:numPr>
          <w:ilvl w:val="0"/>
          <w:numId w:val="3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本产品托管人为江苏银行股份有限公司。产品管理人在此特别披露</w:t>
      </w:r>
      <w:r>
        <w:rPr>
          <w:rFonts w:ascii="楷体" w:hAnsi="楷体" w:eastAsia="楷体"/>
          <w:sz w:val="24"/>
          <w:szCs w:val="24"/>
          <w:highlight w:val="none"/>
        </w:rPr>
        <w:t>：</w:t>
      </w:r>
      <w:r>
        <w:rPr>
          <w:rFonts w:hint="eastAsia" w:ascii="楷体" w:hAnsi="楷体" w:eastAsia="楷体"/>
          <w:sz w:val="24"/>
          <w:szCs w:val="24"/>
          <w:highlight w:val="none"/>
        </w:rPr>
        <w:t>托管人为产品管理人的关联方</w:t>
      </w:r>
      <w:r>
        <w:rPr>
          <w:rFonts w:ascii="楷体" w:hAnsi="楷体" w:eastAsia="楷体"/>
          <w:sz w:val="24"/>
          <w:szCs w:val="24"/>
          <w:highlight w:val="none"/>
        </w:rPr>
        <w:t>，</w:t>
      </w:r>
      <w:r>
        <w:rPr>
          <w:rFonts w:hint="eastAsia" w:ascii="楷体" w:hAnsi="楷体" w:eastAsia="楷体"/>
          <w:sz w:val="24"/>
          <w:szCs w:val="24"/>
          <w:highlight w:val="none"/>
        </w:rPr>
        <w:t>产品管理人聘请其担任托管人已履行现行法律法规和监管规定所规定必须履行的程序</w:t>
      </w:r>
      <w:r>
        <w:rPr>
          <w:rFonts w:ascii="楷体" w:hAnsi="楷体" w:eastAsia="楷体"/>
          <w:sz w:val="24"/>
          <w:szCs w:val="24"/>
          <w:highlight w:val="none"/>
        </w:rPr>
        <w:t>，</w:t>
      </w:r>
      <w:r>
        <w:rPr>
          <w:rFonts w:hint="eastAsia" w:ascii="楷体" w:hAnsi="楷体" w:eastAsia="楷体"/>
          <w:sz w:val="24"/>
          <w:szCs w:val="24"/>
          <w:highlight w:val="none"/>
        </w:rPr>
        <w:t>产品管理人、投资者同意并接受理财产品由托管人托管。</w:t>
      </w:r>
    </w:p>
    <w:p>
      <w:pPr>
        <w:numPr>
          <w:ilvl w:val="0"/>
          <w:numId w:val="3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托管人职责</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安全保管理财产品财产；</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监督理财产品投资运作；</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国务院银行业监督管理机构规定的其他职责。</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十六、</w:t>
      </w:r>
      <w:r>
        <w:rPr>
          <w:rFonts w:hint="eastAsia" w:ascii="楷体" w:hAnsi="楷体" w:eastAsia="楷体"/>
          <w:b/>
          <w:sz w:val="28"/>
          <w:szCs w:val="28"/>
          <w:highlight w:val="none"/>
        </w:rPr>
        <w:t>信息披露</w:t>
      </w:r>
    </w:p>
    <w:p>
      <w:pPr>
        <w:numPr>
          <w:ilvl w:val="0"/>
          <w:numId w:val="3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信息披露内容</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信息披露频率</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管理人应当在本理财产品的半年和年度报告中，披露本理财产品前</w:t>
      </w:r>
      <w:r>
        <w:rPr>
          <w:rFonts w:ascii="楷体" w:hAnsi="楷体" w:eastAsia="楷体" w:cs="Calibri"/>
          <w:b/>
          <w:sz w:val="24"/>
          <w:szCs w:val="24"/>
          <w:highlight w:val="none"/>
          <w:u w:val="single"/>
        </w:rPr>
        <w:t>10名投资者的类别、持有份额及占总份额的比例等信息。</w:t>
      </w:r>
    </w:p>
    <w:p>
      <w:pPr>
        <w:tabs>
          <w:tab w:val="left" w:pos="728"/>
        </w:tabs>
        <w:ind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u w:val="single"/>
        </w:rPr>
        <w:t>本理财产品存续期间，如出现单一投资者持有产品份额达到或者超过本理财产品总份额</w:t>
      </w:r>
      <w:r>
        <w:rPr>
          <w:rFonts w:ascii="楷体" w:hAnsi="楷体" w:eastAsia="楷体" w:cs="Calibri"/>
          <w:b/>
          <w:sz w:val="24"/>
          <w:szCs w:val="24"/>
          <w:highlight w:val="none"/>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highlight w:val="none"/>
          <w:u w:val="single"/>
          <w:lang w:val="en-US" w:eastAsia="zh-CN"/>
        </w:rPr>
        <w:t>监管机构</w:t>
      </w:r>
      <w:r>
        <w:rPr>
          <w:rFonts w:ascii="楷体" w:hAnsi="楷体" w:eastAsia="楷体" w:cs="Calibri"/>
          <w:b/>
          <w:sz w:val="24"/>
          <w:szCs w:val="24"/>
          <w:highlight w:val="none"/>
          <w:u w:val="single"/>
        </w:rPr>
        <w:t>认定的特殊情形除外</w:t>
      </w:r>
      <w:r>
        <w:rPr>
          <w:rFonts w:hint="eastAsia" w:ascii="楷体" w:hAnsi="楷体" w:eastAsia="楷体" w:cs="Calibri"/>
          <w:sz w:val="24"/>
          <w:szCs w:val="24"/>
          <w:highlight w:val="none"/>
        </w:rPr>
        <w:t>。</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产品净值披露：管理人在每个工作日披露上一日每万份收益和七日年化收益率。</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理财账单：管理人每月向投资者提供其所持有的理财产品账单，账单内容包括但不限于投资者持有的理财产品份额、认购金额、</w:t>
      </w:r>
      <w:r>
        <w:rPr>
          <w:rFonts w:hint="eastAsia" w:ascii="楷体" w:hAnsi="楷体" w:eastAsia="楷体" w:cs="Calibri"/>
          <w:sz w:val="24"/>
          <w:szCs w:val="24"/>
          <w:highlight w:val="none"/>
          <w:lang w:val="en-US" w:eastAsia="zh-CN"/>
        </w:rPr>
        <w:t>份额</w:t>
      </w:r>
      <w:r>
        <w:rPr>
          <w:rFonts w:hint="eastAsia" w:ascii="楷体" w:hAnsi="楷体" w:eastAsia="楷体" w:cs="Calibri"/>
          <w:sz w:val="24"/>
          <w:szCs w:val="24"/>
          <w:highlight w:val="none"/>
        </w:rPr>
        <w:t>净值、份额累计净值、资产净值、收益情况、投资者理财交易账户发生的交易明细记录等信息。</w:t>
      </w:r>
    </w:p>
    <w:p>
      <w:pPr>
        <w:numPr>
          <w:ilvl w:val="0"/>
          <w:numId w:val="3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信息披露方式</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highlight w:val="none"/>
        </w:rPr>
        <w:t>）进行信息披露。</w:t>
      </w:r>
    </w:p>
    <w:p>
      <w:pPr>
        <w:numPr>
          <w:ilvl w:val="0"/>
          <w:numId w:val="3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0"/>
        </w:numPr>
        <w:tabs>
          <w:tab w:val="left" w:pos="1134"/>
        </w:tabs>
        <w:ind w:leftChars="200"/>
        <w:outlineLvl w:val="0"/>
        <w:rPr>
          <w:rFonts w:ascii="楷体" w:hAnsi="楷体" w:eastAsia="楷体"/>
          <w:b/>
          <w:sz w:val="28"/>
          <w:szCs w:val="28"/>
          <w:highlight w:val="none"/>
        </w:rPr>
      </w:pPr>
      <w:r>
        <w:rPr>
          <w:rFonts w:hint="eastAsia" w:ascii="楷体" w:hAnsi="楷体" w:eastAsia="楷体"/>
          <w:b/>
          <w:sz w:val="28"/>
          <w:szCs w:val="28"/>
          <w:highlight w:val="none"/>
          <w:lang w:val="en-US" w:eastAsia="zh-CN"/>
        </w:rPr>
        <w:t>十七、</w:t>
      </w:r>
      <w:r>
        <w:rPr>
          <w:rFonts w:hint="eastAsia" w:ascii="楷体" w:hAnsi="楷体" w:eastAsia="楷体"/>
          <w:b/>
          <w:sz w:val="28"/>
          <w:szCs w:val="28"/>
          <w:highlight w:val="none"/>
        </w:rPr>
        <w:t>其他</w:t>
      </w:r>
    </w:p>
    <w:p>
      <w:pPr>
        <w:numPr>
          <w:ilvl w:val="0"/>
          <w:numId w:val="38"/>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信息安全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pPr>
      <w:r>
        <w:rPr>
          <w:rStyle w:val="20"/>
        </w:rPr>
        <w:footnoteRef/>
      </w:r>
      <w:r>
        <w:t xml:space="preserve"> </w:t>
      </w:r>
      <w:r>
        <w:rPr>
          <w:rFonts w:hint="eastAsia" w:ascii="楷体" w:hAnsi="楷体" w:eastAsia="楷体" w:cs="楷体"/>
        </w:rPr>
        <w:t>投资者权益须知的名称和内容以销售机构实际使用为准。</w:t>
      </w:r>
    </w:p>
  </w:footnote>
  <w:footnote w:id="1">
    <w:p>
      <w:pPr>
        <w:pStyle w:val="11"/>
        <w:rPr>
          <w:rFonts w:ascii="楷体" w:hAnsi="楷体" w:eastAsia="楷体" w:cs="楷体"/>
        </w:rPr>
      </w:pPr>
      <w:r>
        <w:rPr>
          <w:rStyle w:val="20"/>
        </w:rPr>
        <w:t xml:space="preserve">2 </w:t>
      </w:r>
      <w:r>
        <w:rPr>
          <w:rFonts w:hint="eastAsia" w:ascii="楷体" w:hAnsi="楷体" w:eastAsia="楷体" w:cs="楷体"/>
        </w:rPr>
        <w:t>理财产品（代理）销售协议书的名称和内容以销售机构实际使用为准。</w:t>
      </w:r>
    </w:p>
    <w:p>
      <w:pPr>
        <w:pStyle w:val="1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1046"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1048"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1045"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6"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35"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4"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537CE"/>
    <w:multiLevelType w:val="singleLevel"/>
    <w:tmpl w:val="D2C537CE"/>
    <w:lvl w:ilvl="0" w:tentative="0">
      <w:start w:val="4"/>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16"/>
  </w:num>
  <w:num w:numId="3">
    <w:abstractNumId w:val="8"/>
  </w:num>
  <w:num w:numId="4">
    <w:abstractNumId w:val="13"/>
  </w:num>
  <w:num w:numId="5">
    <w:abstractNumId w:val="29"/>
  </w:num>
  <w:num w:numId="6">
    <w:abstractNumId w:val="23"/>
  </w:num>
  <w:num w:numId="7">
    <w:abstractNumId w:val="32"/>
  </w:num>
  <w:num w:numId="8">
    <w:abstractNumId w:val="9"/>
  </w:num>
  <w:num w:numId="9">
    <w:abstractNumId w:val="15"/>
  </w:num>
  <w:num w:numId="10">
    <w:abstractNumId w:val="1"/>
  </w:num>
  <w:num w:numId="11">
    <w:abstractNumId w:val="35"/>
  </w:num>
  <w:num w:numId="12">
    <w:abstractNumId w:val="18"/>
  </w:num>
  <w:num w:numId="13">
    <w:abstractNumId w:val="10"/>
  </w:num>
  <w:num w:numId="14">
    <w:abstractNumId w:val="2"/>
  </w:num>
  <w:num w:numId="15">
    <w:abstractNumId w:val="28"/>
  </w:num>
  <w:num w:numId="16">
    <w:abstractNumId w:val="6"/>
  </w:num>
  <w:num w:numId="17">
    <w:abstractNumId w:val="31"/>
  </w:num>
  <w:num w:numId="18">
    <w:abstractNumId w:val="0"/>
  </w:num>
  <w:num w:numId="19">
    <w:abstractNumId w:val="24"/>
  </w:num>
  <w:num w:numId="20">
    <w:abstractNumId w:val="7"/>
  </w:num>
  <w:num w:numId="21">
    <w:abstractNumId w:val="14"/>
  </w:num>
  <w:num w:numId="22">
    <w:abstractNumId w:val="3"/>
  </w:num>
  <w:num w:numId="23">
    <w:abstractNumId w:val="19"/>
  </w:num>
  <w:num w:numId="24">
    <w:abstractNumId w:val="37"/>
  </w:num>
  <w:num w:numId="25">
    <w:abstractNumId w:val="22"/>
  </w:num>
  <w:num w:numId="26">
    <w:abstractNumId w:val="20"/>
  </w:num>
  <w:num w:numId="27">
    <w:abstractNumId w:val="11"/>
  </w:num>
  <w:num w:numId="28">
    <w:abstractNumId w:val="30"/>
  </w:num>
  <w:num w:numId="29">
    <w:abstractNumId w:val="5"/>
  </w:num>
  <w:num w:numId="30">
    <w:abstractNumId w:val="33"/>
  </w:num>
  <w:num w:numId="31">
    <w:abstractNumId w:val="21"/>
  </w:num>
  <w:num w:numId="32">
    <w:abstractNumId w:val="26"/>
  </w:num>
  <w:num w:numId="33">
    <w:abstractNumId w:val="12"/>
  </w:num>
  <w:num w:numId="34">
    <w:abstractNumId w:val="36"/>
  </w:num>
  <w:num w:numId="35">
    <w:abstractNumId w:val="17"/>
  </w:num>
  <w:num w:numId="36">
    <w:abstractNumId w:val="34"/>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517"/>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57FA"/>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0C4"/>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10A72"/>
    <w:rsid w:val="0031143A"/>
    <w:rsid w:val="00311C18"/>
    <w:rsid w:val="0031298C"/>
    <w:rsid w:val="00313619"/>
    <w:rsid w:val="00313D52"/>
    <w:rsid w:val="00314235"/>
    <w:rsid w:val="0032098B"/>
    <w:rsid w:val="003222FC"/>
    <w:rsid w:val="003227E7"/>
    <w:rsid w:val="00325D85"/>
    <w:rsid w:val="0032607C"/>
    <w:rsid w:val="00326E7B"/>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72F"/>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17B"/>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0B32"/>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56BA3"/>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9E"/>
    <w:rsid w:val="00577555"/>
    <w:rsid w:val="005803FA"/>
    <w:rsid w:val="005827DA"/>
    <w:rsid w:val="0058356E"/>
    <w:rsid w:val="00583A5E"/>
    <w:rsid w:val="00585DCB"/>
    <w:rsid w:val="005865C7"/>
    <w:rsid w:val="00590CD8"/>
    <w:rsid w:val="00593310"/>
    <w:rsid w:val="00594939"/>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4FB"/>
    <w:rsid w:val="005E3651"/>
    <w:rsid w:val="005E43ED"/>
    <w:rsid w:val="005E494F"/>
    <w:rsid w:val="005E5312"/>
    <w:rsid w:val="005E588E"/>
    <w:rsid w:val="005E5B8D"/>
    <w:rsid w:val="005E5F0F"/>
    <w:rsid w:val="005E695B"/>
    <w:rsid w:val="005E7B58"/>
    <w:rsid w:val="005F0E22"/>
    <w:rsid w:val="005F1547"/>
    <w:rsid w:val="005F1604"/>
    <w:rsid w:val="005F24F4"/>
    <w:rsid w:val="005F2903"/>
    <w:rsid w:val="005F31D7"/>
    <w:rsid w:val="005F3AA3"/>
    <w:rsid w:val="005F537F"/>
    <w:rsid w:val="005F5931"/>
    <w:rsid w:val="005F7D07"/>
    <w:rsid w:val="0060020D"/>
    <w:rsid w:val="00602794"/>
    <w:rsid w:val="00602CF4"/>
    <w:rsid w:val="00604135"/>
    <w:rsid w:val="006058CB"/>
    <w:rsid w:val="00605AFB"/>
    <w:rsid w:val="0060733C"/>
    <w:rsid w:val="00607C36"/>
    <w:rsid w:val="0061140B"/>
    <w:rsid w:val="00613453"/>
    <w:rsid w:val="0061470B"/>
    <w:rsid w:val="00614908"/>
    <w:rsid w:val="00615029"/>
    <w:rsid w:val="00616593"/>
    <w:rsid w:val="00616AE1"/>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B77"/>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498"/>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56B2E"/>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0E97"/>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129"/>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0DE"/>
    <w:rsid w:val="009B05E8"/>
    <w:rsid w:val="009B05F1"/>
    <w:rsid w:val="009B126C"/>
    <w:rsid w:val="009B19B4"/>
    <w:rsid w:val="009B2CF2"/>
    <w:rsid w:val="009B3751"/>
    <w:rsid w:val="009B45E7"/>
    <w:rsid w:val="009B493A"/>
    <w:rsid w:val="009B4DE3"/>
    <w:rsid w:val="009B537A"/>
    <w:rsid w:val="009B62CB"/>
    <w:rsid w:val="009B6612"/>
    <w:rsid w:val="009B6A55"/>
    <w:rsid w:val="009B751A"/>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219A"/>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1973"/>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5DC5"/>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4D48"/>
    <w:rsid w:val="00EC6339"/>
    <w:rsid w:val="00EC744B"/>
    <w:rsid w:val="00EC778D"/>
    <w:rsid w:val="00EC7B5A"/>
    <w:rsid w:val="00ED1573"/>
    <w:rsid w:val="00ED1966"/>
    <w:rsid w:val="00ED419B"/>
    <w:rsid w:val="00ED4DA5"/>
    <w:rsid w:val="00ED5AAA"/>
    <w:rsid w:val="00ED5AF3"/>
    <w:rsid w:val="00ED6E55"/>
    <w:rsid w:val="00ED71E9"/>
    <w:rsid w:val="00ED7419"/>
    <w:rsid w:val="00ED7443"/>
    <w:rsid w:val="00EE050F"/>
    <w:rsid w:val="00EE081A"/>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389D"/>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E87"/>
    <w:rsid w:val="00F806A9"/>
    <w:rsid w:val="00F81390"/>
    <w:rsid w:val="00F81620"/>
    <w:rsid w:val="00F8217F"/>
    <w:rsid w:val="00F8229F"/>
    <w:rsid w:val="00F83113"/>
    <w:rsid w:val="00F83392"/>
    <w:rsid w:val="00F83C22"/>
    <w:rsid w:val="00F83E61"/>
    <w:rsid w:val="00F84521"/>
    <w:rsid w:val="00F8525D"/>
    <w:rsid w:val="00F86A7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400D"/>
    <w:rsid w:val="00FC58AA"/>
    <w:rsid w:val="00FC5AC6"/>
    <w:rsid w:val="00FC6F54"/>
    <w:rsid w:val="00FC7979"/>
    <w:rsid w:val="00FC7CE2"/>
    <w:rsid w:val="00FD1489"/>
    <w:rsid w:val="00FD15A5"/>
    <w:rsid w:val="00FD2169"/>
    <w:rsid w:val="00FD245E"/>
    <w:rsid w:val="00FD24D9"/>
    <w:rsid w:val="00FD2B4A"/>
    <w:rsid w:val="00FD43CA"/>
    <w:rsid w:val="00FD4B6C"/>
    <w:rsid w:val="00FD5FC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4B04B5"/>
    <w:rsid w:val="016367A9"/>
    <w:rsid w:val="01786F88"/>
    <w:rsid w:val="01802A82"/>
    <w:rsid w:val="01823E16"/>
    <w:rsid w:val="01AF692D"/>
    <w:rsid w:val="01E25CAF"/>
    <w:rsid w:val="01F739C5"/>
    <w:rsid w:val="02277D98"/>
    <w:rsid w:val="02413AF0"/>
    <w:rsid w:val="028669BE"/>
    <w:rsid w:val="028E6154"/>
    <w:rsid w:val="028F28AE"/>
    <w:rsid w:val="02FF0E39"/>
    <w:rsid w:val="03040CCD"/>
    <w:rsid w:val="03077F6E"/>
    <w:rsid w:val="031355DB"/>
    <w:rsid w:val="0337506D"/>
    <w:rsid w:val="03404E17"/>
    <w:rsid w:val="03620C5A"/>
    <w:rsid w:val="036C4C82"/>
    <w:rsid w:val="03A765FE"/>
    <w:rsid w:val="03C0185E"/>
    <w:rsid w:val="03CA7F54"/>
    <w:rsid w:val="03F34101"/>
    <w:rsid w:val="045F2EBA"/>
    <w:rsid w:val="04656FC2"/>
    <w:rsid w:val="046B703C"/>
    <w:rsid w:val="04A732AF"/>
    <w:rsid w:val="04BD2C91"/>
    <w:rsid w:val="04C837E3"/>
    <w:rsid w:val="050510CA"/>
    <w:rsid w:val="05091BBF"/>
    <w:rsid w:val="05711A7E"/>
    <w:rsid w:val="057D5890"/>
    <w:rsid w:val="059D0343"/>
    <w:rsid w:val="05B222AB"/>
    <w:rsid w:val="05C24554"/>
    <w:rsid w:val="05DF20B2"/>
    <w:rsid w:val="061239DA"/>
    <w:rsid w:val="062671DC"/>
    <w:rsid w:val="06383882"/>
    <w:rsid w:val="065674E8"/>
    <w:rsid w:val="069F6C6D"/>
    <w:rsid w:val="06D971CE"/>
    <w:rsid w:val="06EE581E"/>
    <w:rsid w:val="06F342BF"/>
    <w:rsid w:val="06F85D5A"/>
    <w:rsid w:val="06FE71F9"/>
    <w:rsid w:val="07000BCC"/>
    <w:rsid w:val="071378F5"/>
    <w:rsid w:val="074505B3"/>
    <w:rsid w:val="07731EDA"/>
    <w:rsid w:val="07AD0F9B"/>
    <w:rsid w:val="07C56AA1"/>
    <w:rsid w:val="07D30B0D"/>
    <w:rsid w:val="07F134FB"/>
    <w:rsid w:val="0843731D"/>
    <w:rsid w:val="08813FEC"/>
    <w:rsid w:val="08891381"/>
    <w:rsid w:val="08B253D3"/>
    <w:rsid w:val="08BC3764"/>
    <w:rsid w:val="08FD41BA"/>
    <w:rsid w:val="090B4468"/>
    <w:rsid w:val="0930241E"/>
    <w:rsid w:val="09320437"/>
    <w:rsid w:val="093A6BA2"/>
    <w:rsid w:val="09536CE2"/>
    <w:rsid w:val="09560CFE"/>
    <w:rsid w:val="095A1A95"/>
    <w:rsid w:val="097662B8"/>
    <w:rsid w:val="09955913"/>
    <w:rsid w:val="09E04168"/>
    <w:rsid w:val="09EC4E9A"/>
    <w:rsid w:val="0A1A36A0"/>
    <w:rsid w:val="0A2B3E51"/>
    <w:rsid w:val="0A93603C"/>
    <w:rsid w:val="0A95171D"/>
    <w:rsid w:val="0A97493E"/>
    <w:rsid w:val="0AAD6492"/>
    <w:rsid w:val="0AB715F7"/>
    <w:rsid w:val="0B0D77B0"/>
    <w:rsid w:val="0B43619E"/>
    <w:rsid w:val="0B5B0A4D"/>
    <w:rsid w:val="0B8F7B3D"/>
    <w:rsid w:val="0BA3200D"/>
    <w:rsid w:val="0BC11263"/>
    <w:rsid w:val="0BD96283"/>
    <w:rsid w:val="0C030B39"/>
    <w:rsid w:val="0C0D0605"/>
    <w:rsid w:val="0C510802"/>
    <w:rsid w:val="0CB50FFA"/>
    <w:rsid w:val="0CFF06AF"/>
    <w:rsid w:val="0D226527"/>
    <w:rsid w:val="0D8039B2"/>
    <w:rsid w:val="0D817E81"/>
    <w:rsid w:val="0D876BC0"/>
    <w:rsid w:val="0D9C032D"/>
    <w:rsid w:val="0DA42DE6"/>
    <w:rsid w:val="0DAF4280"/>
    <w:rsid w:val="0DCA294A"/>
    <w:rsid w:val="0E076AE9"/>
    <w:rsid w:val="0E0874BE"/>
    <w:rsid w:val="0E095111"/>
    <w:rsid w:val="0E2377B6"/>
    <w:rsid w:val="0E421E9F"/>
    <w:rsid w:val="0E890405"/>
    <w:rsid w:val="0E8C02FA"/>
    <w:rsid w:val="0EA36093"/>
    <w:rsid w:val="0EBD3DC2"/>
    <w:rsid w:val="0ED73749"/>
    <w:rsid w:val="0EF75F06"/>
    <w:rsid w:val="0F00642C"/>
    <w:rsid w:val="0F756F51"/>
    <w:rsid w:val="0F7B7B09"/>
    <w:rsid w:val="0F7C5D76"/>
    <w:rsid w:val="0FB924B8"/>
    <w:rsid w:val="0FB9365C"/>
    <w:rsid w:val="0FD605FB"/>
    <w:rsid w:val="0FF11711"/>
    <w:rsid w:val="10750133"/>
    <w:rsid w:val="10B81047"/>
    <w:rsid w:val="10CB77B6"/>
    <w:rsid w:val="10E55ACF"/>
    <w:rsid w:val="113611C5"/>
    <w:rsid w:val="113862C6"/>
    <w:rsid w:val="1141394C"/>
    <w:rsid w:val="114255F5"/>
    <w:rsid w:val="11624886"/>
    <w:rsid w:val="11663B15"/>
    <w:rsid w:val="11B46622"/>
    <w:rsid w:val="12176AF0"/>
    <w:rsid w:val="129E6898"/>
    <w:rsid w:val="12D90C47"/>
    <w:rsid w:val="12DC417E"/>
    <w:rsid w:val="12FD7F36"/>
    <w:rsid w:val="13043ED4"/>
    <w:rsid w:val="132C1521"/>
    <w:rsid w:val="134D1CF1"/>
    <w:rsid w:val="13BA3578"/>
    <w:rsid w:val="13CF0397"/>
    <w:rsid w:val="13D9661F"/>
    <w:rsid w:val="13EF0037"/>
    <w:rsid w:val="13F21EF0"/>
    <w:rsid w:val="1403461B"/>
    <w:rsid w:val="143D6DFB"/>
    <w:rsid w:val="14AA18A1"/>
    <w:rsid w:val="14D230EC"/>
    <w:rsid w:val="151E543E"/>
    <w:rsid w:val="154272B5"/>
    <w:rsid w:val="154A4AAE"/>
    <w:rsid w:val="15702D57"/>
    <w:rsid w:val="157F299C"/>
    <w:rsid w:val="159A5456"/>
    <w:rsid w:val="15AE69E9"/>
    <w:rsid w:val="15CF287D"/>
    <w:rsid w:val="15EE3AFE"/>
    <w:rsid w:val="16312991"/>
    <w:rsid w:val="163D0798"/>
    <w:rsid w:val="16472120"/>
    <w:rsid w:val="168C2A45"/>
    <w:rsid w:val="169A5D78"/>
    <w:rsid w:val="169C4E56"/>
    <w:rsid w:val="16B02545"/>
    <w:rsid w:val="17255A08"/>
    <w:rsid w:val="174258ED"/>
    <w:rsid w:val="17533689"/>
    <w:rsid w:val="17836661"/>
    <w:rsid w:val="179F1C54"/>
    <w:rsid w:val="17BD5EFB"/>
    <w:rsid w:val="17C31C3D"/>
    <w:rsid w:val="17E21328"/>
    <w:rsid w:val="183A2221"/>
    <w:rsid w:val="185A6E7E"/>
    <w:rsid w:val="188661C9"/>
    <w:rsid w:val="18A23FFA"/>
    <w:rsid w:val="18A5242A"/>
    <w:rsid w:val="18DB1B58"/>
    <w:rsid w:val="18DB6471"/>
    <w:rsid w:val="18FE1D0C"/>
    <w:rsid w:val="190469FF"/>
    <w:rsid w:val="19181A3A"/>
    <w:rsid w:val="19441605"/>
    <w:rsid w:val="1991739F"/>
    <w:rsid w:val="1A097EB9"/>
    <w:rsid w:val="1A0B2B00"/>
    <w:rsid w:val="1A466C29"/>
    <w:rsid w:val="1A753C09"/>
    <w:rsid w:val="1A7A1A3D"/>
    <w:rsid w:val="1A913825"/>
    <w:rsid w:val="1A973E01"/>
    <w:rsid w:val="1AB602BC"/>
    <w:rsid w:val="1ABA4F19"/>
    <w:rsid w:val="1AF30046"/>
    <w:rsid w:val="1B171500"/>
    <w:rsid w:val="1B3A40EB"/>
    <w:rsid w:val="1B693508"/>
    <w:rsid w:val="1B905946"/>
    <w:rsid w:val="1B9768AD"/>
    <w:rsid w:val="1BDB7EB1"/>
    <w:rsid w:val="1BF17D47"/>
    <w:rsid w:val="1C173EB7"/>
    <w:rsid w:val="1C695863"/>
    <w:rsid w:val="1C7E1E02"/>
    <w:rsid w:val="1CA848A1"/>
    <w:rsid w:val="1CBA632D"/>
    <w:rsid w:val="1CCA5A9E"/>
    <w:rsid w:val="1CE005C0"/>
    <w:rsid w:val="1CE354ED"/>
    <w:rsid w:val="1CE80790"/>
    <w:rsid w:val="1CFB75A6"/>
    <w:rsid w:val="1D0A58B6"/>
    <w:rsid w:val="1D1C03D7"/>
    <w:rsid w:val="1D4D3358"/>
    <w:rsid w:val="1D621892"/>
    <w:rsid w:val="1D7579CC"/>
    <w:rsid w:val="1D7757E7"/>
    <w:rsid w:val="1D892210"/>
    <w:rsid w:val="1D9317B9"/>
    <w:rsid w:val="1D9E6CC4"/>
    <w:rsid w:val="1DD151B5"/>
    <w:rsid w:val="1DE04BB8"/>
    <w:rsid w:val="1DFB309E"/>
    <w:rsid w:val="1E757AD8"/>
    <w:rsid w:val="1EAD7DE2"/>
    <w:rsid w:val="1EF35814"/>
    <w:rsid w:val="1F680515"/>
    <w:rsid w:val="1F7E179E"/>
    <w:rsid w:val="1F964275"/>
    <w:rsid w:val="1F974FE3"/>
    <w:rsid w:val="1FCA26FF"/>
    <w:rsid w:val="200377F1"/>
    <w:rsid w:val="20135EB8"/>
    <w:rsid w:val="20332BC0"/>
    <w:rsid w:val="20371AE7"/>
    <w:rsid w:val="20656900"/>
    <w:rsid w:val="208B7373"/>
    <w:rsid w:val="209B4F9D"/>
    <w:rsid w:val="209C508F"/>
    <w:rsid w:val="20E2369F"/>
    <w:rsid w:val="21035D38"/>
    <w:rsid w:val="213D2A55"/>
    <w:rsid w:val="21471BB1"/>
    <w:rsid w:val="21567D40"/>
    <w:rsid w:val="219651F8"/>
    <w:rsid w:val="21CC533A"/>
    <w:rsid w:val="21E65456"/>
    <w:rsid w:val="222741A8"/>
    <w:rsid w:val="223802DF"/>
    <w:rsid w:val="22674FE7"/>
    <w:rsid w:val="22961598"/>
    <w:rsid w:val="22BE2165"/>
    <w:rsid w:val="22E22C59"/>
    <w:rsid w:val="22E833E5"/>
    <w:rsid w:val="232E015B"/>
    <w:rsid w:val="23401EBB"/>
    <w:rsid w:val="23692D78"/>
    <w:rsid w:val="2389150E"/>
    <w:rsid w:val="23B9682F"/>
    <w:rsid w:val="23C27E3A"/>
    <w:rsid w:val="23C81D43"/>
    <w:rsid w:val="23C85BB6"/>
    <w:rsid w:val="23DB08C6"/>
    <w:rsid w:val="24001E9D"/>
    <w:rsid w:val="24376D95"/>
    <w:rsid w:val="24832476"/>
    <w:rsid w:val="24B578FA"/>
    <w:rsid w:val="24BD4C26"/>
    <w:rsid w:val="24C25F2E"/>
    <w:rsid w:val="25070CC1"/>
    <w:rsid w:val="251C6852"/>
    <w:rsid w:val="252F258F"/>
    <w:rsid w:val="25A4761E"/>
    <w:rsid w:val="25BF622B"/>
    <w:rsid w:val="26112B82"/>
    <w:rsid w:val="26683591"/>
    <w:rsid w:val="26736B57"/>
    <w:rsid w:val="26755E52"/>
    <w:rsid w:val="26B54B63"/>
    <w:rsid w:val="26CF203B"/>
    <w:rsid w:val="270A5B07"/>
    <w:rsid w:val="271D7342"/>
    <w:rsid w:val="271F7879"/>
    <w:rsid w:val="272571C7"/>
    <w:rsid w:val="27393819"/>
    <w:rsid w:val="2739606C"/>
    <w:rsid w:val="273D3222"/>
    <w:rsid w:val="276734B3"/>
    <w:rsid w:val="27960EEF"/>
    <w:rsid w:val="27D46755"/>
    <w:rsid w:val="280744DD"/>
    <w:rsid w:val="2808303D"/>
    <w:rsid w:val="280B3FC1"/>
    <w:rsid w:val="284838FD"/>
    <w:rsid w:val="286C493A"/>
    <w:rsid w:val="28A0271E"/>
    <w:rsid w:val="28E337AA"/>
    <w:rsid w:val="29244EBA"/>
    <w:rsid w:val="29311825"/>
    <w:rsid w:val="2937372F"/>
    <w:rsid w:val="29547BC4"/>
    <w:rsid w:val="29652F79"/>
    <w:rsid w:val="296733FA"/>
    <w:rsid w:val="297F71C4"/>
    <w:rsid w:val="29D76730"/>
    <w:rsid w:val="2A060B41"/>
    <w:rsid w:val="2A0654F8"/>
    <w:rsid w:val="2A0968CC"/>
    <w:rsid w:val="2A75021C"/>
    <w:rsid w:val="2A8A46E8"/>
    <w:rsid w:val="2ADD6A5D"/>
    <w:rsid w:val="2AE45309"/>
    <w:rsid w:val="2AE90B77"/>
    <w:rsid w:val="2B030E8B"/>
    <w:rsid w:val="2B0E119A"/>
    <w:rsid w:val="2B2F1CB8"/>
    <w:rsid w:val="2B4E79D6"/>
    <w:rsid w:val="2B9A7696"/>
    <w:rsid w:val="2BD833F6"/>
    <w:rsid w:val="2C283E66"/>
    <w:rsid w:val="2C67317C"/>
    <w:rsid w:val="2C920118"/>
    <w:rsid w:val="2CAD7D37"/>
    <w:rsid w:val="2CC43900"/>
    <w:rsid w:val="2CCC7A2F"/>
    <w:rsid w:val="2CD4199C"/>
    <w:rsid w:val="2CE13843"/>
    <w:rsid w:val="2D21013D"/>
    <w:rsid w:val="2D2134B0"/>
    <w:rsid w:val="2D303F36"/>
    <w:rsid w:val="2D4E158F"/>
    <w:rsid w:val="2D820BD1"/>
    <w:rsid w:val="2E007009"/>
    <w:rsid w:val="2E8D4481"/>
    <w:rsid w:val="2E97707E"/>
    <w:rsid w:val="2F1C72FC"/>
    <w:rsid w:val="2F3061DD"/>
    <w:rsid w:val="2F7F6C5B"/>
    <w:rsid w:val="2FC4512F"/>
    <w:rsid w:val="2FDE12BD"/>
    <w:rsid w:val="305F56A6"/>
    <w:rsid w:val="30840E28"/>
    <w:rsid w:val="30906EF6"/>
    <w:rsid w:val="30B63EEC"/>
    <w:rsid w:val="319E4DF8"/>
    <w:rsid w:val="31A7287B"/>
    <w:rsid w:val="31AB24A2"/>
    <w:rsid w:val="31E43451"/>
    <w:rsid w:val="31E85DFB"/>
    <w:rsid w:val="320E7633"/>
    <w:rsid w:val="32346695"/>
    <w:rsid w:val="32514ADB"/>
    <w:rsid w:val="326F27DC"/>
    <w:rsid w:val="327A6A63"/>
    <w:rsid w:val="327B25E6"/>
    <w:rsid w:val="327F1EE7"/>
    <w:rsid w:val="328153EA"/>
    <w:rsid w:val="32A05A49"/>
    <w:rsid w:val="32A3559F"/>
    <w:rsid w:val="32D228C1"/>
    <w:rsid w:val="32DD4BB0"/>
    <w:rsid w:val="32E64D8F"/>
    <w:rsid w:val="32EE5A1E"/>
    <w:rsid w:val="33207848"/>
    <w:rsid w:val="33304F5E"/>
    <w:rsid w:val="33900B3D"/>
    <w:rsid w:val="33CE43C5"/>
    <w:rsid w:val="33E2761E"/>
    <w:rsid w:val="33ED0162"/>
    <w:rsid w:val="3414544E"/>
    <w:rsid w:val="34190CAE"/>
    <w:rsid w:val="347E080C"/>
    <w:rsid w:val="34AE01BA"/>
    <w:rsid w:val="34B664DF"/>
    <w:rsid w:val="34EA76DE"/>
    <w:rsid w:val="3501130E"/>
    <w:rsid w:val="35163620"/>
    <w:rsid w:val="35203F7A"/>
    <w:rsid w:val="35BB48E4"/>
    <w:rsid w:val="35BE7DBB"/>
    <w:rsid w:val="35EC050F"/>
    <w:rsid w:val="36173CCD"/>
    <w:rsid w:val="361B48D1"/>
    <w:rsid w:val="36292D10"/>
    <w:rsid w:val="3642502D"/>
    <w:rsid w:val="3656351B"/>
    <w:rsid w:val="367C1606"/>
    <w:rsid w:val="368158FA"/>
    <w:rsid w:val="369C3668"/>
    <w:rsid w:val="36B56003"/>
    <w:rsid w:val="36C52477"/>
    <w:rsid w:val="36E35581"/>
    <w:rsid w:val="372A2906"/>
    <w:rsid w:val="37482116"/>
    <w:rsid w:val="374D4BA4"/>
    <w:rsid w:val="37791B81"/>
    <w:rsid w:val="37BD3B90"/>
    <w:rsid w:val="37D231F3"/>
    <w:rsid w:val="37E61084"/>
    <w:rsid w:val="37FB53EF"/>
    <w:rsid w:val="38124733"/>
    <w:rsid w:val="38295073"/>
    <w:rsid w:val="383A48CB"/>
    <w:rsid w:val="38460B75"/>
    <w:rsid w:val="38B80C75"/>
    <w:rsid w:val="38BE1287"/>
    <w:rsid w:val="38C04A2B"/>
    <w:rsid w:val="38C5573A"/>
    <w:rsid w:val="38F73D85"/>
    <w:rsid w:val="38FB6F08"/>
    <w:rsid w:val="39072970"/>
    <w:rsid w:val="39131B3A"/>
    <w:rsid w:val="39297DD7"/>
    <w:rsid w:val="39526A65"/>
    <w:rsid w:val="39864661"/>
    <w:rsid w:val="39900A80"/>
    <w:rsid w:val="39B8452F"/>
    <w:rsid w:val="39B93E43"/>
    <w:rsid w:val="39C51092"/>
    <w:rsid w:val="39CB3D5D"/>
    <w:rsid w:val="39F6604A"/>
    <w:rsid w:val="3A400119"/>
    <w:rsid w:val="3A5A6FEA"/>
    <w:rsid w:val="3A662654"/>
    <w:rsid w:val="3A7B43EA"/>
    <w:rsid w:val="3AA63340"/>
    <w:rsid w:val="3AB47011"/>
    <w:rsid w:val="3AC93C11"/>
    <w:rsid w:val="3ADF25B0"/>
    <w:rsid w:val="3AE71032"/>
    <w:rsid w:val="3AEE27C9"/>
    <w:rsid w:val="3AFA4DFF"/>
    <w:rsid w:val="3B4433D7"/>
    <w:rsid w:val="3B686B41"/>
    <w:rsid w:val="3C211DCF"/>
    <w:rsid w:val="3C445D8F"/>
    <w:rsid w:val="3C60089E"/>
    <w:rsid w:val="3C6E48F5"/>
    <w:rsid w:val="3C853D67"/>
    <w:rsid w:val="3CE10208"/>
    <w:rsid w:val="3CF727B5"/>
    <w:rsid w:val="3D284A64"/>
    <w:rsid w:val="3D53112B"/>
    <w:rsid w:val="3D5866E5"/>
    <w:rsid w:val="3D5F768E"/>
    <w:rsid w:val="3D6D2801"/>
    <w:rsid w:val="3D85737C"/>
    <w:rsid w:val="3D8B00CB"/>
    <w:rsid w:val="3DCF28D3"/>
    <w:rsid w:val="3DF37C62"/>
    <w:rsid w:val="3DFB0640"/>
    <w:rsid w:val="3E5C695E"/>
    <w:rsid w:val="3E643943"/>
    <w:rsid w:val="3E726BA2"/>
    <w:rsid w:val="3E77440F"/>
    <w:rsid w:val="3F28582E"/>
    <w:rsid w:val="3F830750"/>
    <w:rsid w:val="3FC741B0"/>
    <w:rsid w:val="3FEA00DC"/>
    <w:rsid w:val="401162C7"/>
    <w:rsid w:val="40127D53"/>
    <w:rsid w:val="40525397"/>
    <w:rsid w:val="407E4ADB"/>
    <w:rsid w:val="40E8556B"/>
    <w:rsid w:val="41441C49"/>
    <w:rsid w:val="41712D02"/>
    <w:rsid w:val="41815D2F"/>
    <w:rsid w:val="418B6B8D"/>
    <w:rsid w:val="419747DD"/>
    <w:rsid w:val="41F0685E"/>
    <w:rsid w:val="41F2574B"/>
    <w:rsid w:val="42127B71"/>
    <w:rsid w:val="424F7C64"/>
    <w:rsid w:val="4254643D"/>
    <w:rsid w:val="426D124B"/>
    <w:rsid w:val="428A38B6"/>
    <w:rsid w:val="42AC04D0"/>
    <w:rsid w:val="42C34D15"/>
    <w:rsid w:val="42CE6E82"/>
    <w:rsid w:val="42CF7B25"/>
    <w:rsid w:val="42D00296"/>
    <w:rsid w:val="42FA0199"/>
    <w:rsid w:val="42FB7EAC"/>
    <w:rsid w:val="4303735B"/>
    <w:rsid w:val="437725B5"/>
    <w:rsid w:val="438A1CC5"/>
    <w:rsid w:val="438C2BCE"/>
    <w:rsid w:val="439422FD"/>
    <w:rsid w:val="43A55CA5"/>
    <w:rsid w:val="43B735DA"/>
    <w:rsid w:val="43C425E1"/>
    <w:rsid w:val="43E9461E"/>
    <w:rsid w:val="43F03EF4"/>
    <w:rsid w:val="43FE11A0"/>
    <w:rsid w:val="441D1ACF"/>
    <w:rsid w:val="4427562F"/>
    <w:rsid w:val="445A306B"/>
    <w:rsid w:val="4482497E"/>
    <w:rsid w:val="44931256"/>
    <w:rsid w:val="44DD2830"/>
    <w:rsid w:val="45283286"/>
    <w:rsid w:val="45284074"/>
    <w:rsid w:val="4538260A"/>
    <w:rsid w:val="456064FF"/>
    <w:rsid w:val="456E77E8"/>
    <w:rsid w:val="45735DB5"/>
    <w:rsid w:val="45792FB7"/>
    <w:rsid w:val="457B724C"/>
    <w:rsid w:val="457F5E93"/>
    <w:rsid w:val="45E745BD"/>
    <w:rsid w:val="462A10E3"/>
    <w:rsid w:val="46752871"/>
    <w:rsid w:val="46C97B87"/>
    <w:rsid w:val="46CD39B0"/>
    <w:rsid w:val="46D129F9"/>
    <w:rsid w:val="46E00DBD"/>
    <w:rsid w:val="46EE3A7C"/>
    <w:rsid w:val="46FD6304"/>
    <w:rsid w:val="473E685E"/>
    <w:rsid w:val="476105A6"/>
    <w:rsid w:val="476843C9"/>
    <w:rsid w:val="477A1D28"/>
    <w:rsid w:val="479241AF"/>
    <w:rsid w:val="47AB64AE"/>
    <w:rsid w:val="47AE02B5"/>
    <w:rsid w:val="47BF466E"/>
    <w:rsid w:val="47C372A0"/>
    <w:rsid w:val="47D472D7"/>
    <w:rsid w:val="480558D9"/>
    <w:rsid w:val="481C6B68"/>
    <w:rsid w:val="483A7F05"/>
    <w:rsid w:val="485E3085"/>
    <w:rsid w:val="48912E94"/>
    <w:rsid w:val="48964BBE"/>
    <w:rsid w:val="48D12D87"/>
    <w:rsid w:val="48E155A0"/>
    <w:rsid w:val="48E2180B"/>
    <w:rsid w:val="48EF1460"/>
    <w:rsid w:val="48F5643E"/>
    <w:rsid w:val="4931671E"/>
    <w:rsid w:val="49886893"/>
    <w:rsid w:val="49D95775"/>
    <w:rsid w:val="49DE5E94"/>
    <w:rsid w:val="49E44D8A"/>
    <w:rsid w:val="49EC5FF4"/>
    <w:rsid w:val="4A4051EF"/>
    <w:rsid w:val="4A913C61"/>
    <w:rsid w:val="4AB87810"/>
    <w:rsid w:val="4AD8290A"/>
    <w:rsid w:val="4AF24623"/>
    <w:rsid w:val="4B0D79C2"/>
    <w:rsid w:val="4B100DC1"/>
    <w:rsid w:val="4B28215C"/>
    <w:rsid w:val="4B42215B"/>
    <w:rsid w:val="4B8078D6"/>
    <w:rsid w:val="4BE860F9"/>
    <w:rsid w:val="4BEF5A8E"/>
    <w:rsid w:val="4BF01B04"/>
    <w:rsid w:val="4C004BFD"/>
    <w:rsid w:val="4C1C6762"/>
    <w:rsid w:val="4C245667"/>
    <w:rsid w:val="4C3867F6"/>
    <w:rsid w:val="4C421A8A"/>
    <w:rsid w:val="4C694B6C"/>
    <w:rsid w:val="4C812213"/>
    <w:rsid w:val="4C82729E"/>
    <w:rsid w:val="4CBA7137"/>
    <w:rsid w:val="4D3F3A48"/>
    <w:rsid w:val="4D4D0662"/>
    <w:rsid w:val="4D6B7BAF"/>
    <w:rsid w:val="4D7E0E31"/>
    <w:rsid w:val="4D9C3177"/>
    <w:rsid w:val="4DA43BD6"/>
    <w:rsid w:val="4DC63991"/>
    <w:rsid w:val="4DC73B97"/>
    <w:rsid w:val="4DD14F58"/>
    <w:rsid w:val="4E2415BF"/>
    <w:rsid w:val="4E3F346D"/>
    <w:rsid w:val="4E5827B1"/>
    <w:rsid w:val="4E76155D"/>
    <w:rsid w:val="4E833A0E"/>
    <w:rsid w:val="4E8406DF"/>
    <w:rsid w:val="4E9A0035"/>
    <w:rsid w:val="4EA96677"/>
    <w:rsid w:val="4EAD2177"/>
    <w:rsid w:val="4EB07F03"/>
    <w:rsid w:val="4EDE7AF4"/>
    <w:rsid w:val="4F2C3E65"/>
    <w:rsid w:val="4F3A498A"/>
    <w:rsid w:val="4F843B05"/>
    <w:rsid w:val="4FA84476"/>
    <w:rsid w:val="4FC85ACB"/>
    <w:rsid w:val="50207E94"/>
    <w:rsid w:val="502F3AD0"/>
    <w:rsid w:val="506C0F18"/>
    <w:rsid w:val="50812723"/>
    <w:rsid w:val="50B67CAF"/>
    <w:rsid w:val="50B72BFD"/>
    <w:rsid w:val="50B974BF"/>
    <w:rsid w:val="50DE503B"/>
    <w:rsid w:val="51041F4C"/>
    <w:rsid w:val="511E0023"/>
    <w:rsid w:val="514A216C"/>
    <w:rsid w:val="517E2DAC"/>
    <w:rsid w:val="519A31F0"/>
    <w:rsid w:val="51AC698D"/>
    <w:rsid w:val="51F07EE1"/>
    <w:rsid w:val="522C4D4E"/>
    <w:rsid w:val="525C2310"/>
    <w:rsid w:val="527B3ECE"/>
    <w:rsid w:val="52B14412"/>
    <w:rsid w:val="52BB756F"/>
    <w:rsid w:val="52E30177"/>
    <w:rsid w:val="530C3BBF"/>
    <w:rsid w:val="53417F4F"/>
    <w:rsid w:val="536E3862"/>
    <w:rsid w:val="53A827EB"/>
    <w:rsid w:val="53D8021B"/>
    <w:rsid w:val="54082778"/>
    <w:rsid w:val="540E5C2A"/>
    <w:rsid w:val="54607C74"/>
    <w:rsid w:val="547A7A25"/>
    <w:rsid w:val="547B3084"/>
    <w:rsid w:val="547B454F"/>
    <w:rsid w:val="54B7168D"/>
    <w:rsid w:val="54FA15F8"/>
    <w:rsid w:val="550C0DEA"/>
    <w:rsid w:val="550E0298"/>
    <w:rsid w:val="55411DA2"/>
    <w:rsid w:val="554503F2"/>
    <w:rsid w:val="555B0AE3"/>
    <w:rsid w:val="557F3B47"/>
    <w:rsid w:val="55AC3E63"/>
    <w:rsid w:val="55B151A9"/>
    <w:rsid w:val="55BF0E11"/>
    <w:rsid w:val="55C6421E"/>
    <w:rsid w:val="56136CDA"/>
    <w:rsid w:val="56182B77"/>
    <w:rsid w:val="565405AF"/>
    <w:rsid w:val="567F2D82"/>
    <w:rsid w:val="56A91A3A"/>
    <w:rsid w:val="56D67B51"/>
    <w:rsid w:val="56D84235"/>
    <w:rsid w:val="56FA7272"/>
    <w:rsid w:val="57246098"/>
    <w:rsid w:val="57947935"/>
    <w:rsid w:val="579F67E1"/>
    <w:rsid w:val="57B115A6"/>
    <w:rsid w:val="580E067C"/>
    <w:rsid w:val="584C51E1"/>
    <w:rsid w:val="584D14FB"/>
    <w:rsid w:val="5888674C"/>
    <w:rsid w:val="58981098"/>
    <w:rsid w:val="58D760D0"/>
    <w:rsid w:val="5901277B"/>
    <w:rsid w:val="592525C4"/>
    <w:rsid w:val="59321CCB"/>
    <w:rsid w:val="593773EE"/>
    <w:rsid w:val="59551B08"/>
    <w:rsid w:val="59753409"/>
    <w:rsid w:val="59A43C02"/>
    <w:rsid w:val="59B663C5"/>
    <w:rsid w:val="59D455F2"/>
    <w:rsid w:val="59D554A3"/>
    <w:rsid w:val="59F16F36"/>
    <w:rsid w:val="5A250952"/>
    <w:rsid w:val="5A67656A"/>
    <w:rsid w:val="5AC45BA6"/>
    <w:rsid w:val="5ADA1E64"/>
    <w:rsid w:val="5AF02EFF"/>
    <w:rsid w:val="5B251198"/>
    <w:rsid w:val="5B263A9C"/>
    <w:rsid w:val="5B397FB7"/>
    <w:rsid w:val="5B490CC0"/>
    <w:rsid w:val="5B7E3700"/>
    <w:rsid w:val="5BBA4E81"/>
    <w:rsid w:val="5BCD5F4A"/>
    <w:rsid w:val="5C161418"/>
    <w:rsid w:val="5C281071"/>
    <w:rsid w:val="5C3E421A"/>
    <w:rsid w:val="5C62269E"/>
    <w:rsid w:val="5C7204C4"/>
    <w:rsid w:val="5C903B07"/>
    <w:rsid w:val="5C942C48"/>
    <w:rsid w:val="5C9D39DA"/>
    <w:rsid w:val="5CB669E4"/>
    <w:rsid w:val="5D090ACA"/>
    <w:rsid w:val="5D1C5A4F"/>
    <w:rsid w:val="5D2E4FA8"/>
    <w:rsid w:val="5D433826"/>
    <w:rsid w:val="5D5D54A4"/>
    <w:rsid w:val="5D832EEF"/>
    <w:rsid w:val="5D964267"/>
    <w:rsid w:val="5DA33159"/>
    <w:rsid w:val="5DBC1150"/>
    <w:rsid w:val="5DEB14D1"/>
    <w:rsid w:val="5E1A7F73"/>
    <w:rsid w:val="5E203CB3"/>
    <w:rsid w:val="5E390E1F"/>
    <w:rsid w:val="5E4635CA"/>
    <w:rsid w:val="5E584923"/>
    <w:rsid w:val="5E6621D5"/>
    <w:rsid w:val="5E8F6FF0"/>
    <w:rsid w:val="5EA12B1C"/>
    <w:rsid w:val="5EA7685B"/>
    <w:rsid w:val="5EBF1F9E"/>
    <w:rsid w:val="5F0E49A0"/>
    <w:rsid w:val="5F1D2BD9"/>
    <w:rsid w:val="5F3B1BE0"/>
    <w:rsid w:val="5F842392"/>
    <w:rsid w:val="5F97635E"/>
    <w:rsid w:val="5F991715"/>
    <w:rsid w:val="5FB71742"/>
    <w:rsid w:val="5FBE6897"/>
    <w:rsid w:val="5FC47202"/>
    <w:rsid w:val="5FCF11E9"/>
    <w:rsid w:val="5FE4315F"/>
    <w:rsid w:val="5FEB776A"/>
    <w:rsid w:val="5FF94F03"/>
    <w:rsid w:val="600227C8"/>
    <w:rsid w:val="600C6122"/>
    <w:rsid w:val="602B2D4A"/>
    <w:rsid w:val="60396256"/>
    <w:rsid w:val="60542D94"/>
    <w:rsid w:val="607523D1"/>
    <w:rsid w:val="60F82C89"/>
    <w:rsid w:val="60FE2C3F"/>
    <w:rsid w:val="613D6494"/>
    <w:rsid w:val="615146FA"/>
    <w:rsid w:val="61C049AE"/>
    <w:rsid w:val="61C93CD9"/>
    <w:rsid w:val="62070FA1"/>
    <w:rsid w:val="62093885"/>
    <w:rsid w:val="620970B6"/>
    <w:rsid w:val="621217BE"/>
    <w:rsid w:val="623B41C7"/>
    <w:rsid w:val="623D76BC"/>
    <w:rsid w:val="62526D3D"/>
    <w:rsid w:val="628B65F6"/>
    <w:rsid w:val="62AA0F42"/>
    <w:rsid w:val="62B376C4"/>
    <w:rsid w:val="62C14F3F"/>
    <w:rsid w:val="62CD2B33"/>
    <w:rsid w:val="62E9530A"/>
    <w:rsid w:val="62F9683B"/>
    <w:rsid w:val="63383F95"/>
    <w:rsid w:val="635B4DFF"/>
    <w:rsid w:val="63870B4C"/>
    <w:rsid w:val="63887242"/>
    <w:rsid w:val="6392476A"/>
    <w:rsid w:val="63BB59D4"/>
    <w:rsid w:val="63DB479D"/>
    <w:rsid w:val="63EE49FC"/>
    <w:rsid w:val="63F91E6A"/>
    <w:rsid w:val="64161140"/>
    <w:rsid w:val="64620820"/>
    <w:rsid w:val="64656098"/>
    <w:rsid w:val="64681E85"/>
    <w:rsid w:val="64710F5D"/>
    <w:rsid w:val="64751478"/>
    <w:rsid w:val="648839FD"/>
    <w:rsid w:val="64D032C8"/>
    <w:rsid w:val="64F07888"/>
    <w:rsid w:val="652F64A8"/>
    <w:rsid w:val="65991FF1"/>
    <w:rsid w:val="65B452EA"/>
    <w:rsid w:val="65EC7B94"/>
    <w:rsid w:val="6619624C"/>
    <w:rsid w:val="66342E08"/>
    <w:rsid w:val="66497A6B"/>
    <w:rsid w:val="665B59A1"/>
    <w:rsid w:val="666B0070"/>
    <w:rsid w:val="66894EF3"/>
    <w:rsid w:val="66DD7D5B"/>
    <w:rsid w:val="67115625"/>
    <w:rsid w:val="672E29D7"/>
    <w:rsid w:val="673A67EA"/>
    <w:rsid w:val="67786B23"/>
    <w:rsid w:val="679626DF"/>
    <w:rsid w:val="67A32D76"/>
    <w:rsid w:val="67AA3BE1"/>
    <w:rsid w:val="67BF6715"/>
    <w:rsid w:val="67E56BF0"/>
    <w:rsid w:val="68785E71"/>
    <w:rsid w:val="68957C01"/>
    <w:rsid w:val="68A01520"/>
    <w:rsid w:val="68C6622F"/>
    <w:rsid w:val="68CB6E45"/>
    <w:rsid w:val="68EA072F"/>
    <w:rsid w:val="69370731"/>
    <w:rsid w:val="69605A8F"/>
    <w:rsid w:val="69C04ABB"/>
    <w:rsid w:val="69C22D23"/>
    <w:rsid w:val="69E17CD8"/>
    <w:rsid w:val="69E67A92"/>
    <w:rsid w:val="69EB7AC5"/>
    <w:rsid w:val="6A174619"/>
    <w:rsid w:val="6AB14817"/>
    <w:rsid w:val="6ACE4D37"/>
    <w:rsid w:val="6AD91CA8"/>
    <w:rsid w:val="6AD94EA8"/>
    <w:rsid w:val="6B0C68CA"/>
    <w:rsid w:val="6B5F2370"/>
    <w:rsid w:val="6B7C1F05"/>
    <w:rsid w:val="6B932C0C"/>
    <w:rsid w:val="6BAE1C5E"/>
    <w:rsid w:val="6C1300A2"/>
    <w:rsid w:val="6C2C7587"/>
    <w:rsid w:val="6C2D651B"/>
    <w:rsid w:val="6C43610C"/>
    <w:rsid w:val="6C4537CF"/>
    <w:rsid w:val="6C485EB9"/>
    <w:rsid w:val="6C842D03"/>
    <w:rsid w:val="6CAA0686"/>
    <w:rsid w:val="6CDE057E"/>
    <w:rsid w:val="6D19595D"/>
    <w:rsid w:val="6D2F4791"/>
    <w:rsid w:val="6D5535FC"/>
    <w:rsid w:val="6D8139D7"/>
    <w:rsid w:val="6DE63B52"/>
    <w:rsid w:val="6DF56B72"/>
    <w:rsid w:val="6E0E05E2"/>
    <w:rsid w:val="6E35359F"/>
    <w:rsid w:val="6E7C4447"/>
    <w:rsid w:val="6EFC3A3C"/>
    <w:rsid w:val="6EFD0D44"/>
    <w:rsid w:val="6F03408E"/>
    <w:rsid w:val="6F227649"/>
    <w:rsid w:val="6F461335"/>
    <w:rsid w:val="6F635E50"/>
    <w:rsid w:val="6F6C0CDE"/>
    <w:rsid w:val="6F9C3A2B"/>
    <w:rsid w:val="700E4C63"/>
    <w:rsid w:val="70110130"/>
    <w:rsid w:val="70184542"/>
    <w:rsid w:val="70223498"/>
    <w:rsid w:val="70637F71"/>
    <w:rsid w:val="706E7A2C"/>
    <w:rsid w:val="708C39A3"/>
    <w:rsid w:val="70932CBE"/>
    <w:rsid w:val="70B76718"/>
    <w:rsid w:val="70C7777F"/>
    <w:rsid w:val="70CA1FA3"/>
    <w:rsid w:val="71520FE0"/>
    <w:rsid w:val="71A32AFB"/>
    <w:rsid w:val="71C87B9A"/>
    <w:rsid w:val="71F87F15"/>
    <w:rsid w:val="72370D1D"/>
    <w:rsid w:val="72476A02"/>
    <w:rsid w:val="725C35AF"/>
    <w:rsid w:val="72620D8B"/>
    <w:rsid w:val="72A11024"/>
    <w:rsid w:val="72A52693"/>
    <w:rsid w:val="72A55021"/>
    <w:rsid w:val="72AA2887"/>
    <w:rsid w:val="73263A8E"/>
    <w:rsid w:val="73475086"/>
    <w:rsid w:val="736A001B"/>
    <w:rsid w:val="738F037A"/>
    <w:rsid w:val="7396760B"/>
    <w:rsid w:val="73BC0182"/>
    <w:rsid w:val="73DC2F75"/>
    <w:rsid w:val="73EE3516"/>
    <w:rsid w:val="74475266"/>
    <w:rsid w:val="7481790B"/>
    <w:rsid w:val="74966354"/>
    <w:rsid w:val="749679D6"/>
    <w:rsid w:val="749F5952"/>
    <w:rsid w:val="74EB6AF7"/>
    <w:rsid w:val="750263A5"/>
    <w:rsid w:val="75117095"/>
    <w:rsid w:val="752F546D"/>
    <w:rsid w:val="753C1BF3"/>
    <w:rsid w:val="75446612"/>
    <w:rsid w:val="756015F8"/>
    <w:rsid w:val="75722274"/>
    <w:rsid w:val="75A67A21"/>
    <w:rsid w:val="75B27B6B"/>
    <w:rsid w:val="75CB3B83"/>
    <w:rsid w:val="75D52F7A"/>
    <w:rsid w:val="75E848BC"/>
    <w:rsid w:val="760C5805"/>
    <w:rsid w:val="761F029E"/>
    <w:rsid w:val="762F4253"/>
    <w:rsid w:val="76303EF4"/>
    <w:rsid w:val="76355280"/>
    <w:rsid w:val="7655794F"/>
    <w:rsid w:val="76694F9B"/>
    <w:rsid w:val="76CC129E"/>
    <w:rsid w:val="76F82563"/>
    <w:rsid w:val="77087694"/>
    <w:rsid w:val="7753681B"/>
    <w:rsid w:val="775F5B45"/>
    <w:rsid w:val="77667C2A"/>
    <w:rsid w:val="776C70FF"/>
    <w:rsid w:val="779C4B53"/>
    <w:rsid w:val="77A756F0"/>
    <w:rsid w:val="77B15C8C"/>
    <w:rsid w:val="77B91A0C"/>
    <w:rsid w:val="78057C81"/>
    <w:rsid w:val="783E2DE6"/>
    <w:rsid w:val="78421DAC"/>
    <w:rsid w:val="78431FAF"/>
    <w:rsid w:val="78823025"/>
    <w:rsid w:val="78B25FBA"/>
    <w:rsid w:val="78C31CAF"/>
    <w:rsid w:val="79153558"/>
    <w:rsid w:val="793A3CA6"/>
    <w:rsid w:val="79421110"/>
    <w:rsid w:val="79BA69C4"/>
    <w:rsid w:val="79F37E22"/>
    <w:rsid w:val="7A1769A3"/>
    <w:rsid w:val="7A4024A0"/>
    <w:rsid w:val="7A5F5EF3"/>
    <w:rsid w:val="7A60093B"/>
    <w:rsid w:val="7A6E4950"/>
    <w:rsid w:val="7A7A6A28"/>
    <w:rsid w:val="7AC053F6"/>
    <w:rsid w:val="7AE864E1"/>
    <w:rsid w:val="7B12208E"/>
    <w:rsid w:val="7B215011"/>
    <w:rsid w:val="7B2C1F5B"/>
    <w:rsid w:val="7B5A7743"/>
    <w:rsid w:val="7B602DAD"/>
    <w:rsid w:val="7B810A3B"/>
    <w:rsid w:val="7C27553B"/>
    <w:rsid w:val="7C391D27"/>
    <w:rsid w:val="7C6E7368"/>
    <w:rsid w:val="7C9D4AF5"/>
    <w:rsid w:val="7CBA3AAE"/>
    <w:rsid w:val="7CBD02B6"/>
    <w:rsid w:val="7CEF1D89"/>
    <w:rsid w:val="7D1B284D"/>
    <w:rsid w:val="7D2A33FC"/>
    <w:rsid w:val="7D2B654D"/>
    <w:rsid w:val="7D312820"/>
    <w:rsid w:val="7D3533F7"/>
    <w:rsid w:val="7D446602"/>
    <w:rsid w:val="7D923F30"/>
    <w:rsid w:val="7DA17EF3"/>
    <w:rsid w:val="7DA85D23"/>
    <w:rsid w:val="7E566485"/>
    <w:rsid w:val="7E656A60"/>
    <w:rsid w:val="7E954648"/>
    <w:rsid w:val="7F1D6B1B"/>
    <w:rsid w:val="7F4A247F"/>
    <w:rsid w:val="7F521573"/>
    <w:rsid w:val="7F7D7E39"/>
    <w:rsid w:val="7F814DD6"/>
    <w:rsid w:val="7F976ECD"/>
    <w:rsid w:val="7FCC438E"/>
    <w:rsid w:val="7FCE147D"/>
    <w:rsid w:val="7FEB723C"/>
    <w:rsid w:val="7FF92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字符"/>
    <w:link w:val="2"/>
    <w:qFormat/>
    <w:uiPriority w:val="1"/>
    <w:rPr>
      <w:rFonts w:ascii="黑体" w:hAnsi="Times New Roman" w:eastAsia="黑体" w:cs="黑体"/>
      <w:b/>
      <w:bCs/>
      <w:kern w:val="0"/>
      <w:sz w:val="36"/>
      <w:szCs w:val="36"/>
    </w:rPr>
  </w:style>
  <w:style w:type="character" w:customStyle="1" w:styleId="22">
    <w:name w:val="标题 2 字符"/>
    <w:link w:val="3"/>
    <w:qFormat/>
    <w:uiPriority w:val="9"/>
    <w:rPr>
      <w:rFonts w:ascii="Cambria" w:hAnsi="Cambria" w:eastAsia="宋体" w:cs="Times New Roman"/>
      <w:b/>
      <w:bCs/>
      <w:sz w:val="32"/>
      <w:szCs w:val="32"/>
    </w:rPr>
  </w:style>
  <w:style w:type="character" w:customStyle="1" w:styleId="23">
    <w:name w:val="标题 3 字符"/>
    <w:link w:val="4"/>
    <w:qFormat/>
    <w:uiPriority w:val="1"/>
    <w:rPr>
      <w:rFonts w:ascii="宋体" w:hAnsi="Times New Roman" w:eastAsia="宋体" w:cs="宋体"/>
      <w:b/>
      <w:bCs/>
      <w:kern w:val="0"/>
      <w:szCs w:val="21"/>
    </w:rPr>
  </w:style>
  <w:style w:type="character" w:customStyle="1" w:styleId="24">
    <w:name w:val="批注文字 字符"/>
    <w:link w:val="5"/>
    <w:qFormat/>
    <w:uiPriority w:val="99"/>
    <w:rPr>
      <w:kern w:val="2"/>
      <w:sz w:val="21"/>
      <w:szCs w:val="22"/>
    </w:rPr>
  </w:style>
  <w:style w:type="character" w:customStyle="1" w:styleId="25">
    <w:name w:val="正文文本 字符"/>
    <w:link w:val="6"/>
    <w:qFormat/>
    <w:uiPriority w:val="1"/>
    <w:rPr>
      <w:rFonts w:ascii="宋体" w:hAnsi="Times New Roman" w:eastAsia="宋体" w:cs="宋体"/>
      <w:kern w:val="0"/>
      <w:szCs w:val="21"/>
    </w:rPr>
  </w:style>
  <w:style w:type="character" w:customStyle="1" w:styleId="26">
    <w:name w:val="日期 字符"/>
    <w:link w:val="7"/>
    <w:semiHidden/>
    <w:qFormat/>
    <w:uiPriority w:val="99"/>
  </w:style>
  <w:style w:type="character" w:customStyle="1" w:styleId="27">
    <w:name w:val="批注框文本 字符"/>
    <w:link w:val="8"/>
    <w:semiHidden/>
    <w:qFormat/>
    <w:uiPriority w:val="99"/>
    <w:rPr>
      <w:sz w:val="18"/>
      <w:szCs w:val="18"/>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字符"/>
    <w:link w:val="13"/>
    <w:semiHidden/>
    <w:qFormat/>
    <w:uiPriority w:val="99"/>
    <w:rPr>
      <w:b/>
      <w:bCs/>
      <w:kern w:val="2"/>
      <w:sz w:val="21"/>
      <w:szCs w:val="22"/>
    </w:rPr>
  </w:style>
  <w:style w:type="character" w:customStyle="1" w:styleId="32">
    <w:name w:val="未处理的提及1"/>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6"/>
    <customShpInfo spid="_x0000_s1048"/>
    <customShpInfo spid="_x0000_s1045"/>
    <customShpInfo spid="_x0000_s1036"/>
    <customShpInfo spid="_x0000_s1035"/>
    <customShpInfo spid="_x0000_s1034"/>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5C84CD-8877-47DD-8E2C-A441A4C53E4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41358</Words>
  <Characters>43000</Characters>
  <Lines>290</Lines>
  <Paragraphs>81</Paragraphs>
  <TotalTime>18</TotalTime>
  <ScaleCrop>false</ScaleCrop>
  <LinksUpToDate>false</LinksUpToDate>
  <CharactersWithSpaces>43284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2025-02-07T03:02:27Z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NEH+fSpoaEg1NJiy1Js6a02jdOiYl4OCPI645xGu2eOrn9tsR3/vUCufKcZVPzbPOT8+CQEi3Hg4Du/4c3mih/oy6Vde/FROEXn9uO2YHgcQNVV7xIm58s6tMha2DGLgH71K39DSEo/dmCcYQ0ly+R7dvp9X6/7FA93iDdKzAL+xM4b+4nAHvox7MHV7Dk8IOoF7LoVmMPvwaemPaunP7LrQGwtF/yJ/CCkJSuk89BEl2Xr0AMvXO1dqITpi0yUAa5Xo4VkwggmKqMN4MANmP1QAZKohg5FTz837fjJ/w5N3khlZr3WYH5F2Kiwq3i0tiakFIKB5+GeUA8JEweT/xgaoJ503GbVrsgRHgq5WCHFCQw6T52yLi/4J8s9dVCoobyg6MmAWSBS59XFfh+QFFgB4hwLwVSMCIF1eYIK6aSxyV0jHcKwFbCQKC+ygoWpRnyjSyx28QlEmiRK3SPSr51nk7eqWzALO3QaSzi325Cw=</vt:lpwstr>
  </property>
</Properties>
</file>