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pageBreakBefore/>
        <w:spacing w:before="0" w:beforeAutospacing="0" w:after="0" w:afterAutospacing="0" w:line="360" w:lineRule="auto"/>
        <w:jc w:val="center"/>
        <w:outlineLvl w:val="0"/>
        <w:rPr>
          <w:rFonts w:ascii="楷体" w:hAnsi="楷体" w:eastAsia="楷体"/>
          <w:b/>
          <w:sz w:val="32"/>
          <w:szCs w:val="32"/>
        </w:rPr>
      </w:pPr>
      <w:r>
        <w:rPr>
          <w:rFonts w:hint="eastAsia" w:ascii="楷体" w:hAnsi="楷体" w:eastAsia="楷体"/>
          <w:b/>
          <w:sz w:val="32"/>
          <w:szCs w:val="32"/>
        </w:rPr>
        <w:t>“</w:t>
      </w:r>
      <w:r>
        <w:rPr>
          <w:rFonts w:hint="eastAsia" w:ascii="楷体" w:hAnsi="楷体" w:eastAsia="楷体"/>
          <w:b/>
          <w:sz w:val="32"/>
          <w:szCs w:val="32"/>
          <w:lang w:eastAsia="zh-CN"/>
        </w:rPr>
        <w:t>苏银理财启源现金5号</w:t>
      </w:r>
      <w:r>
        <w:rPr>
          <w:rFonts w:hint="eastAsia" w:ascii="楷体" w:hAnsi="楷体" w:eastAsia="楷体"/>
          <w:b/>
          <w:sz w:val="32"/>
          <w:szCs w:val="32"/>
        </w:rPr>
        <w:t>”理财产品风险揭示书</w:t>
      </w:r>
    </w:p>
    <w:p>
      <w:pPr>
        <w:jc w:val="center"/>
        <w:outlineLvl w:val="1"/>
        <w:rPr>
          <w:rFonts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highlight w:val="none"/>
        </w:rPr>
      </w:pPr>
      <w:r>
        <w:rPr>
          <w:rFonts w:hint="eastAsia" w:ascii="楷体" w:hAnsi="楷体" w:eastAsia="楷体" w:cs="Times New Roman"/>
          <w:highlight w:val="none"/>
        </w:rPr>
        <w:t>尊敬的投资者：</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理财产品（代理）销售协议书》），了解理财产品具体情况；在您购买理财产品后，请关注本理财产品的信息披露，及时获取相关信息。</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1"/>
        </w:numPr>
        <w:tabs>
          <w:tab w:val="left" w:pos="1134"/>
        </w:tabs>
        <w:ind w:left="0" w:firstLine="562" w:firstLineChars="200"/>
        <w:outlineLvl w:val="1"/>
        <w:rPr>
          <w:rFonts w:ascii="楷体" w:hAnsi="楷体" w:eastAsia="楷体"/>
          <w:b/>
          <w:sz w:val="24"/>
          <w:szCs w:val="24"/>
        </w:rPr>
      </w:pPr>
      <w:r>
        <w:rPr>
          <w:rFonts w:hint="eastAsia" w:ascii="楷体" w:hAnsi="楷体" w:eastAsia="楷体"/>
          <w:b/>
          <w:sz w:val="28"/>
          <w:szCs w:val="28"/>
        </w:rPr>
        <w:t>风险揭示</w:t>
      </w:r>
    </w:p>
    <w:p>
      <w:pPr>
        <w:pStyle w:val="12"/>
        <w:spacing w:before="0" w:beforeAutospacing="0" w:after="0" w:afterAutospacing="0"/>
        <w:ind w:firstLine="480" w:firstLineChars="200"/>
        <w:rPr>
          <w:rFonts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本理财产品投资的债券等资产的价格受到经济因素、政治因素、投资心理和交易制度等各种因素的影响，可能导致本理财产品资产收益水平变化，投资者可能面临本金和收益遭受部分甚至全部损失的风险。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lang w:val="en-US" w:eastAsia="zh-CN"/>
        </w:rPr>
        <w:t>本金及理财产品收益风险：</w:t>
      </w:r>
      <w:r>
        <w:rPr>
          <w:rFonts w:hint="eastAsia" w:ascii="楷体" w:hAnsi="楷体" w:eastAsia="楷体"/>
          <w:sz w:val="24"/>
          <w:szCs w:val="24"/>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2"/>
        </w:numPr>
        <w:tabs>
          <w:tab w:val="left" w:pos="993"/>
        </w:tabs>
        <w:ind w:left="0" w:firstLine="482" w:firstLineChars="200"/>
        <w:rPr>
          <w:rFonts w:ascii="楷体" w:hAnsi="楷体" w:eastAsia="楷体"/>
          <w:b/>
          <w:sz w:val="24"/>
          <w:szCs w:val="24"/>
        </w:rPr>
      </w:pPr>
      <w:r>
        <w:rPr>
          <w:rFonts w:hint="eastAsia" w:ascii="楷体" w:hAnsi="楷体" w:eastAsia="楷体"/>
          <w:b/>
          <w:sz w:val="24"/>
          <w:szCs w:val="24"/>
          <w:highlight w:val="none"/>
        </w:rPr>
        <w:t>流动性风险：</w:t>
      </w:r>
      <w:r>
        <w:rPr>
          <w:rFonts w:hint="eastAsia" w:ascii="楷体" w:hAnsi="楷体" w:eastAsia="楷体"/>
          <w:b w:val="0"/>
          <w:bCs/>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在本理财产品存续期内，投资者只能在理财产品说明书规定的时间和条件内办理申购与赎回，这可能影响投资者的资金安排，带来流动性风险。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r>
        <w:rPr>
          <w:rFonts w:hint="eastAsia" w:ascii="楷体" w:hAnsi="楷体" w:eastAsia="楷体"/>
          <w:b/>
          <w:sz w:val="24"/>
          <w:szCs w:val="24"/>
          <w:u w:val="single"/>
        </w:rPr>
        <w:t>。</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代销风险</w:t>
      </w:r>
      <w:r>
        <w:rPr>
          <w:rFonts w:hint="eastAsia" w:ascii="楷体" w:hAnsi="楷体" w:eastAsia="楷体"/>
          <w:b/>
          <w:sz w:val="24"/>
          <w:szCs w:val="24"/>
          <w:lang w:eastAsia="zh-CN"/>
        </w:rPr>
        <w:t>（</w:t>
      </w:r>
      <w:r>
        <w:rPr>
          <w:rFonts w:hint="eastAsia" w:ascii="楷体" w:hAnsi="楷体" w:eastAsia="楷体"/>
          <w:b/>
          <w:sz w:val="24"/>
          <w:szCs w:val="24"/>
          <w:lang w:val="en-US" w:eastAsia="zh-CN"/>
        </w:rPr>
        <w:t>如有</w:t>
      </w:r>
      <w:r>
        <w:rPr>
          <w:rFonts w:hint="eastAsia" w:ascii="楷体" w:hAnsi="楷体" w:eastAsia="楷体"/>
          <w:b/>
          <w:sz w:val="24"/>
          <w:szCs w:val="24"/>
          <w:lang w:eastAsia="zh-CN"/>
        </w:rPr>
        <w:t>）</w:t>
      </w:r>
      <w:r>
        <w:rPr>
          <w:rFonts w:hint="eastAsia" w:ascii="楷体" w:hAnsi="楷体" w:eastAsia="楷体"/>
          <w:b/>
          <w:sz w:val="24"/>
          <w:szCs w:val="24"/>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bCs/>
          <w:sz w:val="24"/>
          <w:szCs w:val="24"/>
        </w:rPr>
        <w:t>理财产品的份额类别差异风险：</w:t>
      </w:r>
      <w:r>
        <w:rPr>
          <w:rFonts w:hint="eastAsia" w:ascii="楷体" w:hAnsi="楷体" w:eastAsia="楷体"/>
          <w:sz w:val="24"/>
          <w:szCs w:val="24"/>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2"/>
        </w:numPr>
        <w:tabs>
          <w:tab w:val="left" w:pos="993"/>
        </w:tabs>
        <w:ind w:left="0" w:firstLine="482" w:firstLineChars="200"/>
        <w:rPr>
          <w:rFonts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w:t>
      </w:r>
      <w:r>
        <w:rPr>
          <w:rFonts w:hint="eastAsia" w:ascii="楷体" w:hAnsi="楷体" w:eastAsia="楷体"/>
          <w:sz w:val="24"/>
          <w:szCs w:val="24"/>
          <w:lang w:eastAsia="zh-CN"/>
        </w:rPr>
        <w:t>、</w:t>
      </w:r>
      <w:r>
        <w:rPr>
          <w:rFonts w:hint="eastAsia" w:ascii="楷体" w:hAnsi="楷体" w:eastAsia="楷体"/>
          <w:sz w:val="24"/>
          <w:szCs w:val="24"/>
        </w:rPr>
        <w:t>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82" w:firstLineChars="200"/>
        <w:rPr>
          <w:rFonts w:ascii="楷体" w:hAnsi="楷体" w:eastAsia="楷体"/>
          <w:b/>
          <w:sz w:val="24"/>
          <w:szCs w:val="24"/>
        </w:rPr>
      </w:pPr>
      <w:r>
        <w:rPr>
          <w:rFonts w:hint="eastAsia" w:ascii="楷体" w:hAnsi="楷体" w:eastAsia="楷体"/>
          <w:b/>
          <w:sz w:val="24"/>
          <w:szCs w:val="24"/>
        </w:rPr>
        <w:t>债券投资的特殊风险</w:t>
      </w:r>
    </w:p>
    <w:p>
      <w:pPr>
        <w:numPr>
          <w:ilvl w:val="0"/>
          <w:numId w:val="3"/>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债券投资的特殊风险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市场平均利率水平变化导致债券价格变化的风险。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债券市场不同期限、不同类别债券之间的利差变动导致相应期限和类别债券价格变化的风险。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债券发行人、担保人出现违约拒绝支付到期本息，或由于债券发行人、担保人信用质量降低导致债券价格下降及无法收回投资收益的风险。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与信用等级较高的债券相比，投资于信用等级较低的债券将因为发行主体的偿还债务能力略低、受不利经济环境的影响更大以及违约风险更高等原因而面临更大的投资风险。</w:t>
      </w:r>
    </w:p>
    <w:p>
      <w:pPr>
        <w:numPr>
          <w:ilvl w:val="0"/>
          <w:numId w:val="4"/>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ind w:left="0" w:firstLine="480" w:firstLineChars="200"/>
        <w:outlineLvl w:val="2"/>
        <w:rPr>
          <w:rFonts w:hint="eastAsia" w:ascii="楷体" w:hAnsi="楷体" w:eastAsia="楷体"/>
          <w:sz w:val="24"/>
          <w:szCs w:val="24"/>
        </w:rPr>
      </w:pPr>
      <w:r>
        <w:rPr>
          <w:rFonts w:hint="eastAsia" w:ascii="楷体" w:hAnsi="楷体" w:eastAsia="楷体"/>
          <w:sz w:val="24"/>
          <w:szCs w:val="24"/>
        </w:rPr>
        <w:t>相关资产管理计划或基金份额的特殊风险：</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5"/>
        </w:numPr>
        <w:tabs>
          <w:tab w:val="left" w:pos="1092"/>
        </w:tabs>
        <w:ind w:left="0" w:firstLine="480" w:firstLineChars="200"/>
        <w:rPr>
          <w:rFonts w:hint="eastAsia" w:ascii="楷体" w:hAnsi="楷体" w:eastAsia="楷体"/>
          <w:sz w:val="24"/>
          <w:szCs w:val="24"/>
        </w:rPr>
      </w:pPr>
      <w:r>
        <w:rPr>
          <w:rFonts w:hint="eastAsia" w:ascii="楷体" w:hAnsi="楷体" w:eastAsia="楷体"/>
          <w:sz w:val="24"/>
          <w:szCs w:val="24"/>
        </w:rPr>
        <w:t>资产管理计划或基金产品可能出现因为某种原因而被提前终止的情况，由此可能会造成对本理财产品投资收益的影响</w:t>
      </w:r>
      <w:r>
        <w:rPr>
          <w:rFonts w:hint="eastAsia" w:ascii="楷体" w:hAnsi="楷体" w:eastAsia="楷体"/>
          <w:sz w:val="24"/>
          <w:szCs w:val="24"/>
          <w:lang w:eastAsia="zh-CN"/>
        </w:rPr>
        <w:t>。</w:t>
      </w:r>
    </w:p>
    <w:p>
      <w:pPr>
        <w:numPr>
          <w:ilvl w:val="0"/>
          <w:numId w:val="5"/>
        </w:numPr>
        <w:tabs>
          <w:tab w:val="left" w:pos="1092"/>
        </w:tabs>
        <w:ind w:left="0" w:firstLine="480" w:firstLineChars="200"/>
        <w:rPr>
          <w:rFonts w:ascii="楷体" w:hAnsi="楷体" w:eastAsia="楷体"/>
          <w:sz w:val="24"/>
          <w:szCs w:val="24"/>
        </w:rPr>
      </w:pPr>
      <w:r>
        <w:rPr>
          <w:rFonts w:hint="eastAsia" w:ascii="楷体" w:hAnsi="楷体" w:eastAsia="楷体"/>
          <w:sz w:val="24"/>
          <w:szCs w:val="24"/>
          <w:lang w:val="en-US" w:eastAsia="zh-CN"/>
        </w:rPr>
        <w:t>因</w:t>
      </w:r>
      <w:r>
        <w:rPr>
          <w:rFonts w:hint="eastAsia" w:ascii="楷体" w:hAnsi="楷体" w:eastAsia="楷体"/>
          <w:sz w:val="24"/>
          <w:szCs w:val="24"/>
        </w:rPr>
        <w:t>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上述风险揭示事项仅为列举性质，未能详尽列明投资者参与本理财产品所面临的全部风险和可能导致投资者资产损失的所有因素。在您签署本理财产品的理财产品（代理）销售协议书前，应当仔细阅读风险揭示书、理财产品说明书、投资者权益须知、理财产品投资协议书及理财产品（代理）销售协议书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ascii="楷体" w:hAnsi="楷体" w:eastAsia="楷体"/>
          <w:b/>
          <w:u w:val="single"/>
        </w:rPr>
      </w:pPr>
      <w:r>
        <w:rPr>
          <w:rFonts w:hint="eastAsia" w:ascii="楷体" w:hAnsi="楷体" w:eastAsia="楷体"/>
          <w:b/>
          <w:u w:val="single"/>
        </w:rPr>
        <w:t>如影响您的风险承受能力的因素发生变化，请及时完成风险承受能力评估。</w:t>
      </w:r>
    </w:p>
    <w:p>
      <w:pPr>
        <w:pStyle w:val="12"/>
        <w:spacing w:before="0" w:beforeAutospacing="0" w:after="0" w:afterAutospacing="0"/>
        <w:ind w:firstLine="482" w:firstLineChars="200"/>
        <w:rPr>
          <w:rFonts w:ascii="楷体" w:hAnsi="楷体" w:eastAsia="楷体"/>
          <w:b/>
          <w:u w:val="single"/>
        </w:rPr>
      </w:pPr>
    </w:p>
    <w:p>
      <w:pPr>
        <w:numPr>
          <w:ilvl w:val="0"/>
          <w:numId w:val="1"/>
        </w:numPr>
        <w:tabs>
          <w:tab w:val="left" w:pos="1134"/>
        </w:tabs>
        <w:ind w:left="0" w:firstLine="562" w:firstLineChars="200"/>
        <w:outlineLvl w:val="1"/>
        <w:rPr>
          <w:rFonts w:ascii="楷体" w:hAnsi="楷体" w:eastAsia="楷体"/>
          <w:b/>
          <w:sz w:val="28"/>
          <w:szCs w:val="28"/>
        </w:rPr>
      </w:pPr>
      <w:r>
        <w:rPr>
          <w:rFonts w:hint="eastAsia" w:ascii="楷体" w:hAnsi="楷体" w:eastAsia="楷体"/>
          <w:b/>
          <w:sz w:val="28"/>
          <w:szCs w:val="28"/>
        </w:rPr>
        <w:t>投资者提示</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1.本理财产品不保证本金及收益，您的本金可能因市场变动或者交易违约等事项而蒙受相应损失。投资者应充分认识投资风险，谨慎投资。</w:t>
      </w:r>
    </w:p>
    <w:p>
      <w:pPr>
        <w:tabs>
          <w:tab w:val="left" w:pos="742"/>
        </w:tabs>
        <w:ind w:firstLine="482" w:firstLineChars="200"/>
        <w:rPr>
          <w:rFonts w:ascii="楷体" w:hAnsi="楷体" w:eastAsia="楷体"/>
          <w:b/>
          <w:sz w:val="24"/>
          <w:szCs w:val="24"/>
          <w:u w:val="single"/>
        </w:rPr>
      </w:pPr>
      <w:r>
        <w:rPr>
          <w:rFonts w:hint="eastAsia" w:ascii="楷体" w:hAnsi="楷体" w:eastAsia="楷体"/>
          <w:b/>
          <w:sz w:val="24"/>
          <w:szCs w:val="24"/>
          <w:u w:val="single"/>
        </w:rPr>
        <w:t>2.本理财产品过往业绩不代表其未来表现，不等于理财产品实际收益，投资须谨慎。理财非存款、产品有风险、投资须谨慎。</w:t>
      </w:r>
    </w:p>
    <w:p>
      <w:pPr>
        <w:tabs>
          <w:tab w:val="left" w:pos="993"/>
        </w:tabs>
        <w:ind w:firstLine="482" w:firstLineChars="200"/>
        <w:rPr>
          <w:rFonts w:ascii="楷体" w:hAnsi="楷体" w:eastAsia="楷体"/>
          <w:b/>
          <w:sz w:val="24"/>
          <w:szCs w:val="24"/>
          <w:u w:val="single"/>
        </w:rPr>
      </w:pPr>
      <w:r>
        <w:rPr>
          <w:rFonts w:hint="eastAsia" w:ascii="楷体" w:hAnsi="楷体" w:eastAsia="楷体"/>
          <w:b/>
          <w:sz w:val="24"/>
          <w:szCs w:val="24"/>
          <w:u w:val="single"/>
        </w:rPr>
        <w:t>3.管理人系江苏银行股份有限公司（下称"江苏银行"）全资子公司，江苏银行为管理人关联方。</w:t>
      </w:r>
      <w:r>
        <w:rPr>
          <w:rFonts w:hint="eastAsia" w:ascii="楷体" w:hAnsi="楷体" w:eastAsia="楷体"/>
          <w:b/>
          <w:sz w:val="24"/>
          <w:szCs w:val="24"/>
          <w:u w:val="single"/>
          <w:lang w:val="en-US" w:eastAsia="zh-CN"/>
        </w:rPr>
        <w:t>如</w:t>
      </w:r>
      <w:r>
        <w:rPr>
          <w:rFonts w:hint="eastAsia" w:ascii="楷体" w:hAnsi="楷体" w:eastAsia="楷体"/>
          <w:b/>
          <w:sz w:val="24"/>
          <w:szCs w:val="24"/>
          <w:u w:val="single"/>
        </w:rPr>
        <w:t>本理财产品销售机构</w:t>
      </w:r>
      <w:r>
        <w:rPr>
          <w:rFonts w:hint="eastAsia" w:ascii="楷体" w:hAnsi="楷体" w:eastAsia="楷体"/>
          <w:b/>
          <w:sz w:val="24"/>
          <w:szCs w:val="24"/>
          <w:u w:val="single"/>
          <w:lang w:val="en-US" w:eastAsia="zh-CN"/>
        </w:rPr>
        <w:t>为</w:t>
      </w:r>
      <w:r>
        <w:rPr>
          <w:rFonts w:hint="eastAsia" w:ascii="楷体" w:hAnsi="楷体" w:eastAsia="楷体"/>
          <w:b/>
          <w:sz w:val="24"/>
          <w:szCs w:val="24"/>
          <w:u w:val="single"/>
        </w:rPr>
        <w:t>江苏银行，</w:t>
      </w:r>
      <w:r>
        <w:rPr>
          <w:rFonts w:hint="eastAsia" w:ascii="楷体" w:hAnsi="楷体" w:eastAsia="楷体"/>
          <w:b/>
          <w:sz w:val="24"/>
          <w:szCs w:val="24"/>
          <w:u w:val="single"/>
          <w:lang w:val="en-US" w:eastAsia="zh-CN"/>
        </w:rPr>
        <w:t>则</w:t>
      </w:r>
      <w:r>
        <w:rPr>
          <w:rFonts w:hint="eastAsia" w:ascii="楷体" w:hAnsi="楷体" w:eastAsia="楷体"/>
          <w:b/>
          <w:sz w:val="24"/>
          <w:szCs w:val="24"/>
          <w:u w:val="single"/>
        </w:rPr>
        <w:t>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4.本理财产品类型为</w:t>
      </w:r>
      <w:r>
        <w:rPr>
          <w:rFonts w:hint="eastAsia" w:ascii="楷体" w:hAnsi="楷体" w:eastAsia="楷体" w:cs="Calibri"/>
          <w:b/>
          <w:sz w:val="24"/>
          <w:szCs w:val="24"/>
          <w:u w:val="single"/>
        </w:rPr>
        <w:t>固定收益类、公募、开放式</w:t>
      </w:r>
      <w:r>
        <w:rPr>
          <w:rFonts w:hint="eastAsia" w:ascii="楷体" w:hAnsi="楷体" w:eastAsia="楷体"/>
          <w:sz w:val="24"/>
          <w:szCs w:val="24"/>
        </w:rPr>
        <w:t>，产品管理人对本理财产品的内部风险评级为</w:t>
      </w:r>
      <w:r>
        <w:rPr>
          <w:rFonts w:hint="eastAsia" w:ascii="楷体" w:hAnsi="楷体" w:eastAsia="楷体"/>
          <w:b/>
          <w:sz w:val="24"/>
          <w:szCs w:val="24"/>
          <w:u w:val="single"/>
        </w:rPr>
        <w:t>★一级，适合</w:t>
      </w:r>
      <w:r>
        <w:rPr>
          <w:rFonts w:hint="eastAsia" w:ascii="楷体" w:hAnsi="楷体" w:eastAsia="楷体" w:cs="Calibri"/>
          <w:b/>
          <w:sz w:val="24"/>
          <w:szCs w:val="24"/>
          <w:u w:val="single"/>
        </w:rPr>
        <w:t>低风险型</w:t>
      </w:r>
      <w:r>
        <w:rPr>
          <w:rFonts w:hint="eastAsia" w:ascii="楷体" w:hAnsi="楷体" w:eastAsia="楷体"/>
          <w:b/>
          <w:sz w:val="24"/>
          <w:szCs w:val="24"/>
          <w:u w:val="single"/>
        </w:rPr>
        <w:t>投资者</w:t>
      </w:r>
      <w:r>
        <w:rPr>
          <w:rFonts w:hint="eastAsia" w:ascii="楷体" w:hAnsi="楷体" w:eastAsia="楷体"/>
          <w:sz w:val="24"/>
          <w:szCs w:val="24"/>
        </w:rPr>
        <w:t>。</w:t>
      </w:r>
      <w:r>
        <w:rPr>
          <w:rFonts w:hint="eastAsia" w:ascii="楷体" w:hAnsi="楷体" w:eastAsia="楷体"/>
          <w:b/>
          <w:sz w:val="24"/>
          <w:szCs w:val="24"/>
          <w:u w:val="single"/>
        </w:rPr>
        <w:t>该产品通过代理销售机构渠道销售的，理财产品评级应当以代理销售机构最终披露的评级结果为准。</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rPr>
      </w:pPr>
      <w:r>
        <w:rPr>
          <w:rFonts w:hint="eastAsia" w:ascii="楷体" w:hAnsi="楷体" w:eastAsia="楷体"/>
          <w:sz w:val="24"/>
          <w:szCs w:val="24"/>
        </w:rPr>
        <w:t>6.本理财产品的风险揭示书、理财产品说明书、投资者权益须知、理财产品投资协议书及理财产品（代理）销售协议书为本理财产品合同不可分割的组成部分。您签署本理财产品合同并将资金委托给苏银理财运作是您真实的意思表示。</w:t>
      </w:r>
      <w:r>
        <w:rPr>
          <w:rFonts w:hint="eastAsia" w:ascii="楷体" w:hAnsi="楷体" w:eastAsia="楷体"/>
          <w:b/>
          <w:sz w:val="24"/>
          <w:szCs w:val="24"/>
        </w:rPr>
        <w:t>您还应了解您所购买理财产品的投资风险、类型特点和投资存在的最不利投资情形：在最不利情况下，投资者甚至可能损失全部本金。</w:t>
      </w:r>
      <w:r>
        <w:rPr>
          <w:rFonts w:hint="eastAsia" w:ascii="楷体" w:hAnsi="楷体" w:eastAsia="楷体"/>
          <w:b/>
          <w:sz w:val="24"/>
          <w:szCs w:val="24"/>
          <w:highlight w:val="none"/>
        </w:rPr>
        <w:t>示例：如投资者购买本理财产品，本金为1万元，在理财产品资产组合项下资产全部亏损的最不利情况下，理财产品1万元本金将全部损失</w:t>
      </w:r>
      <w:r>
        <w:rPr>
          <w:rFonts w:hint="eastAsia" w:ascii="楷体" w:hAnsi="楷体" w:eastAsia="楷体"/>
          <w:b/>
          <w:sz w:val="24"/>
          <w:szCs w:val="24"/>
          <w:highlight w:val="none"/>
          <w:lang w:eastAsia="zh-CN"/>
        </w:rPr>
        <w:t>。</w:t>
      </w:r>
    </w:p>
    <w:p>
      <w:pPr>
        <w:tabs>
          <w:tab w:val="left" w:pos="742"/>
        </w:tabs>
        <w:ind w:firstLine="480" w:firstLineChars="200"/>
        <w:rPr>
          <w:rFonts w:ascii="楷体" w:hAnsi="楷体" w:eastAsia="楷体"/>
          <w:sz w:val="24"/>
          <w:szCs w:val="24"/>
        </w:rPr>
      </w:pPr>
      <w:r>
        <w:rPr>
          <w:rFonts w:hint="eastAsia" w:ascii="楷体" w:hAnsi="楷体" w:eastAsia="楷体"/>
          <w:sz w:val="24"/>
          <w:szCs w:val="24"/>
        </w:rPr>
        <w:t>7.苏银理财及销售机构将据相关法律、法规严格履行投资者信息保密责任，除监管机构或司法机关等有权机构外，不得对其他第三方提供任何投资者信息。</w:t>
      </w:r>
    </w:p>
    <w:p>
      <w:pPr>
        <w:pStyle w:val="12"/>
        <w:spacing w:before="0" w:beforeAutospacing="0" w:after="0" w:afterAutospacing="0" w:line="360" w:lineRule="auto"/>
        <w:ind w:left="420"/>
        <w:jc w:val="right"/>
        <w:rPr>
          <w:rFonts w:ascii="楷体" w:hAnsi="楷体" w:eastAsia="楷体"/>
          <w:b/>
        </w:rPr>
      </w:pPr>
    </w:p>
    <w:p>
      <w:pPr>
        <w:pStyle w:val="12"/>
        <w:spacing w:before="0" w:beforeAutospacing="0" w:after="0" w:afterAutospacing="0" w:line="360" w:lineRule="auto"/>
        <w:ind w:left="420"/>
        <w:jc w:val="right"/>
      </w:pPr>
      <w:r>
        <w:rPr>
          <w:rFonts w:hint="eastAsia" w:ascii="楷体" w:hAnsi="楷体" w:eastAsia="楷体"/>
          <w:b/>
        </w:rPr>
        <w:t>风险揭示方：苏银理财有限责任公司</w:t>
      </w: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rPr>
          <w:rFonts w:ascii="楷体" w:hAnsi="楷体" w:eastAsia="楷体"/>
          <w:b/>
          <w:sz w:val="36"/>
          <w:szCs w:val="36"/>
        </w:r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投资者风险确认函</w:t>
      </w:r>
    </w:p>
    <w:p>
      <w:pPr>
        <w:numPr>
          <w:ilvl w:val="0"/>
          <w:numId w:val="6"/>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个人投资者确认</w:t>
      </w:r>
    </w:p>
    <w:p>
      <w:pPr>
        <w:ind w:firstLine="480" w:firstLineChars="200"/>
        <w:rPr>
          <w:rFonts w:ascii="楷体" w:hAnsi="楷体" w:eastAsia="楷体"/>
          <w:sz w:val="24"/>
          <w:szCs w:val="24"/>
        </w:rPr>
      </w:pPr>
      <w:r>
        <w:rPr>
          <w:rFonts w:hint="eastAsia" w:ascii="楷体" w:hAnsi="楷体" w:eastAsia="楷体"/>
          <w:sz w:val="24"/>
          <w:szCs w:val="24"/>
        </w:rPr>
        <w:t>本人确认已经收到本理财产品的风险揭示书，且已经认真阅读本理财产品完整合同（包括产品风险揭示书、理财产品说明书、投资者权益须知、理财产品投资协议书和理财产品（代理）销售协议书），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u w:val="single"/>
        </w:rPr>
        <w:t>本人承诺理财购买资金来源合法合规，本人将配合管理人及销售机构开展反洗钱、反恐怖融资及非居民金融账户涉税信息尽职调查等工作。</w:t>
      </w:r>
    </w:p>
    <w:p>
      <w:pPr>
        <w:ind w:firstLine="480" w:firstLineChars="200"/>
        <w:rPr>
          <w:rFonts w:ascii="楷体" w:hAnsi="楷体" w:eastAsia="楷体"/>
          <w:sz w:val="24"/>
          <w:szCs w:val="24"/>
        </w:rPr>
      </w:pPr>
      <w:r>
        <w:rPr>
          <w:rFonts w:hint="eastAsia" w:ascii="楷体" w:hAnsi="楷体" w:eastAsia="楷体"/>
          <w:sz w:val="24"/>
          <w:szCs w:val="24"/>
        </w:rPr>
        <w:t>经销售机构评估，本人的风险承受能力评级结果为</w:t>
      </w:r>
      <w:r>
        <w:rPr>
          <w:rFonts w:ascii="楷体" w:hAnsi="楷体" w:eastAsia="楷体"/>
          <w:b/>
          <w:sz w:val="24"/>
          <w:szCs w:val="24"/>
        </w:rPr>
        <w:t>：</w:t>
      </w:r>
    </w:p>
    <w:p>
      <w:pPr>
        <w:rPr>
          <w:rFonts w:ascii="楷体" w:hAnsi="楷体" w:eastAsia="楷体"/>
          <w:b/>
          <w:sz w:val="24"/>
          <w:szCs w:val="24"/>
        </w:rPr>
      </w:pPr>
    </w:p>
    <w:p>
      <w:pPr>
        <w:ind w:firstLine="480" w:firstLineChars="200"/>
        <w:rPr>
          <w:rFonts w:ascii="楷体" w:hAnsi="楷体" w:eastAsia="楷体"/>
          <w:sz w:val="24"/>
          <w:szCs w:val="24"/>
          <w:u w:val="single"/>
        </w:rPr>
      </w:pPr>
      <w:r>
        <w:rPr>
          <w:rFonts w:hint="eastAsia" w:ascii="楷体" w:hAnsi="楷体" w:eastAsia="楷体"/>
          <w:sz w:val="24"/>
          <w:szCs w:val="24"/>
          <w:u w:val="single"/>
        </w:rPr>
        <w:t xml:space="preserve">                                        （</w:t>
      </w:r>
      <w:r>
        <w:rPr>
          <w:rFonts w:hint="eastAsia" w:ascii="楷体" w:hAnsi="楷体" w:eastAsia="楷体"/>
          <w:b/>
          <w:sz w:val="24"/>
          <w:szCs w:val="24"/>
          <w:u w:val="single"/>
        </w:rPr>
        <w:t>投资者本人填写</w:t>
      </w:r>
      <w:r>
        <w:rPr>
          <w:rFonts w:hint="eastAsia" w:ascii="楷体" w:hAnsi="楷体" w:eastAsia="楷体"/>
          <w:sz w:val="24"/>
          <w:szCs w:val="24"/>
          <w:u w:val="single"/>
        </w:rPr>
        <w:t>）</w:t>
      </w:r>
    </w:p>
    <w:p>
      <w:pPr>
        <w:ind w:firstLine="480" w:firstLineChars="200"/>
        <w:rPr>
          <w:rFonts w:ascii="楷体" w:hAnsi="楷体" w:eastAsia="楷体"/>
          <w:sz w:val="24"/>
          <w:szCs w:val="24"/>
        </w:rPr>
      </w:pPr>
      <w:r>
        <w:rPr>
          <w:rFonts w:hint="eastAsia" w:ascii="楷体" w:hAnsi="楷体" w:eastAsia="楷体"/>
          <w:sz w:val="24"/>
          <w:szCs w:val="24"/>
        </w:rPr>
        <w:t>风险承受能力不低于本理财产品的风险评级，适合购买本理财产品。</w:t>
      </w:r>
      <w:r>
        <w:rPr>
          <w:rFonts w:hint="eastAsia" w:ascii="楷体" w:hAnsi="楷体" w:eastAsia="楷体"/>
          <w:sz w:val="24"/>
          <w:szCs w:val="24"/>
          <w:highlight w:val="none"/>
        </w:rPr>
        <w:t>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w:t>
      </w:r>
      <w:r>
        <w:rPr>
          <w:rFonts w:hint="eastAsia" w:ascii="楷体" w:hAnsi="楷体" w:eastAsia="楷体"/>
          <w:sz w:val="24"/>
          <w:szCs w:val="24"/>
        </w:rPr>
        <w:t>人将及时完成风险承受能力的重新评估。</w:t>
      </w:r>
    </w:p>
    <w:p>
      <w:pPr>
        <w:ind w:firstLine="480" w:firstLineChars="200"/>
        <w:rPr>
          <w:rFonts w:ascii="楷体" w:hAnsi="楷体" w:eastAsia="楷体"/>
          <w:b/>
          <w:sz w:val="24"/>
          <w:szCs w:val="24"/>
        </w:rPr>
      </w:pPr>
      <w:r>
        <w:rPr>
          <w:rFonts w:hint="eastAsia" w:ascii="楷体" w:hAnsi="楷体" w:eastAsia="楷体"/>
          <w:sz w:val="24"/>
          <w:szCs w:val="24"/>
        </w:rPr>
        <w:t>须</w:t>
      </w:r>
      <w:r>
        <w:rPr>
          <w:rFonts w:hint="eastAsia" w:ascii="楷体" w:hAnsi="楷体" w:eastAsia="楷体"/>
          <w:b/>
          <w:sz w:val="24"/>
          <w:szCs w:val="24"/>
          <w:u w:val="single"/>
        </w:rPr>
        <w:t>投资者亲笔抄录</w:t>
      </w:r>
      <w:r>
        <w:rPr>
          <w:rFonts w:hint="eastAsia" w:ascii="楷体" w:hAnsi="楷体" w:eastAsia="楷体"/>
          <w:sz w:val="24"/>
          <w:szCs w:val="24"/>
        </w:rPr>
        <w:t>以下内容：</w:t>
      </w:r>
      <w:r>
        <w:rPr>
          <w:rFonts w:hint="eastAsia" w:ascii="楷体" w:hAnsi="楷体" w:eastAsia="楷体"/>
          <w:b/>
          <w:sz w:val="24"/>
          <w:szCs w:val="24"/>
        </w:rPr>
        <w:t>“</w:t>
      </w:r>
      <w:r>
        <w:rPr>
          <w:rFonts w:hint="eastAsia" w:ascii="楷体" w:hAnsi="楷体" w:eastAsia="楷体"/>
          <w:b/>
          <w:sz w:val="24"/>
          <w:szCs w:val="24"/>
          <w:u w:val="single"/>
        </w:rPr>
        <w:t>本人已经阅读风险揭示，愿意承担投资风险</w:t>
      </w:r>
      <w:r>
        <w:rPr>
          <w:rFonts w:hint="eastAsia" w:ascii="楷体" w:hAnsi="楷体" w:eastAsia="楷体"/>
          <w:b/>
          <w:sz w:val="24"/>
          <w:szCs w:val="24"/>
        </w:rPr>
        <w:t>”</w:t>
      </w:r>
    </w:p>
    <w:p>
      <w:pPr>
        <w:rPr>
          <w:rFonts w:ascii="楷体" w:hAnsi="楷体" w:eastAsia="楷体"/>
          <w:sz w:val="24"/>
          <w:szCs w:val="24"/>
          <w:u w:val="single"/>
        </w:rPr>
      </w:pPr>
    </w:p>
    <w:p>
      <w:pPr>
        <w:rPr>
          <w:rFonts w:ascii="楷体" w:hAnsi="楷体" w:eastAsia="楷体"/>
          <w:sz w:val="24"/>
          <w:szCs w:val="24"/>
          <w:u w:val="single"/>
        </w:rPr>
      </w:pPr>
      <w:r>
        <w:rPr>
          <w:rFonts w:hint="eastAsia" w:ascii="楷体" w:hAnsi="楷体" w:eastAsia="楷体"/>
          <w:sz w:val="24"/>
          <w:szCs w:val="24"/>
          <w:u w:val="single"/>
        </w:rPr>
        <w:t xml:space="preserve">                                                                         </w:t>
      </w:r>
    </w:p>
    <w:p>
      <w:pPr>
        <w:rPr>
          <w:rFonts w:ascii="楷体" w:hAnsi="楷体" w:eastAsia="楷体"/>
          <w:sz w:val="24"/>
          <w:szCs w:val="24"/>
        </w:rPr>
      </w:pPr>
      <w:r>
        <w:rPr>
          <w:rFonts w:hint="eastAsia" w:ascii="楷体" w:hAnsi="楷体" w:eastAsia="楷体"/>
          <w:sz w:val="24"/>
          <w:szCs w:val="24"/>
        </w:rPr>
        <w:t>个人投资者签字：</w:t>
      </w:r>
    </w:p>
    <w:p>
      <w:pPr>
        <w:ind w:firstLine="480" w:firstLineChars="200"/>
        <w:jc w:val="right"/>
        <w:rPr>
          <w:rFonts w:ascii="楷体" w:hAnsi="楷体" w:eastAsia="楷体"/>
          <w:sz w:val="24"/>
          <w:szCs w:val="24"/>
        </w:rPr>
      </w:pPr>
      <w:r>
        <w:rPr>
          <w:rFonts w:hint="eastAsia" w:ascii="楷体" w:hAnsi="楷体" w:eastAsia="楷体"/>
          <w:sz w:val="24"/>
          <w:szCs w:val="24"/>
        </w:rPr>
        <w:t>年   月   日</w:t>
      </w:r>
    </w:p>
    <w:p>
      <w:pPr>
        <w:numPr>
          <w:ilvl w:val="0"/>
          <w:numId w:val="6"/>
        </w:numPr>
        <w:tabs>
          <w:tab w:val="left" w:pos="1134"/>
        </w:tabs>
        <w:ind w:firstLine="560" w:firstLineChars="200"/>
        <w:outlineLvl w:val="0"/>
        <w:rPr>
          <w:rFonts w:ascii="楷体" w:hAnsi="楷体" w:eastAsia="楷体"/>
          <w:sz w:val="28"/>
          <w:szCs w:val="28"/>
        </w:rPr>
      </w:pPr>
      <w:r>
        <w:rPr>
          <w:rFonts w:hint="eastAsia" w:ascii="楷体" w:hAnsi="楷体" w:eastAsia="楷体"/>
          <w:sz w:val="28"/>
          <w:szCs w:val="28"/>
        </w:rPr>
        <w:t>机构投资者确认</w:t>
      </w:r>
    </w:p>
    <w:p>
      <w:pPr>
        <w:ind w:firstLine="480" w:firstLineChars="200"/>
        <w:rPr>
          <w:rFonts w:ascii="楷体" w:hAnsi="楷体" w:eastAsia="楷体"/>
          <w:sz w:val="24"/>
          <w:szCs w:val="24"/>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w:t>
      </w:r>
      <w:r>
        <w:rPr>
          <w:rFonts w:ascii="楷体" w:hAnsi="楷体" w:eastAsia="楷体"/>
          <w:sz w:val="24"/>
          <w:szCs w:val="24"/>
        </w:rPr>
        <w:t>：投资决策系由本</w:t>
      </w:r>
      <w:r>
        <w:rPr>
          <w:rFonts w:hint="eastAsia" w:ascii="楷体" w:hAnsi="楷体" w:eastAsia="楷体"/>
          <w:sz w:val="24"/>
          <w:szCs w:val="24"/>
        </w:rPr>
        <w:t>机构</w:t>
      </w:r>
      <w:r>
        <w:rPr>
          <w:rFonts w:ascii="楷体" w:hAnsi="楷体" w:eastAsia="楷体"/>
          <w:sz w:val="24"/>
          <w:szCs w:val="24"/>
        </w:rPr>
        <w:t>独立、自主、谨慎做出，本</w:t>
      </w:r>
      <w:r>
        <w:rPr>
          <w:rFonts w:hint="eastAsia" w:ascii="楷体" w:hAnsi="楷体" w:eastAsia="楷体"/>
          <w:sz w:val="24"/>
          <w:szCs w:val="24"/>
        </w:rPr>
        <w:t>机构已经收到本理财产品的风险揭示书，且已经认真阅读本理财产品完整合同（包括风险揭示书、理财产品说明书、投资者权益须知、理财产品投资协议书和理财产品（代理）销售协议书）</w:t>
      </w:r>
      <w:r>
        <w:rPr>
          <w:rFonts w:ascii="楷体" w:hAnsi="楷体" w:eastAsia="楷体"/>
          <w:sz w:val="24"/>
          <w:szCs w:val="24"/>
        </w:rPr>
        <w:t>，充分认识该理财产品的特征、风险和投资者相关权利义务条款，完全理解并自愿接受</w:t>
      </w:r>
      <w:r>
        <w:rPr>
          <w:rFonts w:hint="eastAsia" w:ascii="楷体" w:hAnsi="楷体" w:eastAsia="楷体"/>
          <w:sz w:val="24"/>
          <w:szCs w:val="24"/>
        </w:rPr>
        <w:t>。</w:t>
      </w:r>
      <w:r>
        <w:rPr>
          <w:rFonts w:hint="eastAsia" w:ascii="楷体" w:hAnsi="楷体" w:eastAsia="楷体"/>
          <w:b/>
          <w:bCs/>
          <w:sz w:val="24"/>
          <w:szCs w:val="24"/>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rPr>
      </w:pP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机构投资者（盖章）：</w:t>
      </w:r>
    </w:p>
    <w:p>
      <w:pPr>
        <w:rPr>
          <w:rFonts w:ascii="楷体" w:hAnsi="楷体" w:eastAsia="楷体"/>
          <w:sz w:val="24"/>
          <w:szCs w:val="24"/>
        </w:rPr>
      </w:pPr>
    </w:p>
    <w:p>
      <w:pPr>
        <w:rPr>
          <w:rFonts w:ascii="楷体" w:hAnsi="楷体" w:eastAsia="楷体"/>
          <w:sz w:val="24"/>
          <w:szCs w:val="24"/>
        </w:rPr>
      </w:pPr>
      <w:r>
        <w:rPr>
          <w:rFonts w:hint="eastAsia" w:ascii="楷体" w:hAnsi="楷体" w:eastAsia="楷体"/>
          <w:sz w:val="24"/>
          <w:szCs w:val="24"/>
        </w:rPr>
        <w:t>机构投资者法定代表人或授权代表（签字或盖章）</w:t>
      </w:r>
    </w:p>
    <w:p>
      <w:pPr>
        <w:rPr>
          <w:rFonts w:ascii="楷体" w:hAnsi="楷体" w:eastAsia="楷体"/>
        </w:rPr>
      </w:pPr>
    </w:p>
    <w:p>
      <w:pPr>
        <w:ind w:firstLine="360" w:firstLineChars="150"/>
        <w:jc w:val="right"/>
        <w:rPr>
          <w:rFonts w:hint="eastAsia" w:ascii="楷体" w:hAnsi="楷体" w:eastAsia="楷体"/>
          <w:sz w:val="24"/>
          <w:szCs w:val="24"/>
        </w:rPr>
      </w:pPr>
      <w:r>
        <w:rPr>
          <w:rFonts w:hint="eastAsia" w:ascii="楷体" w:hAnsi="楷体" w:eastAsia="楷体"/>
          <w:sz w:val="24"/>
          <w:szCs w:val="24"/>
        </w:rPr>
        <w:t>年   月   日</w:t>
      </w:r>
    </w:p>
    <w:p>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4098"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409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4097"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6367A9"/>
    <w:rsid w:val="016875DE"/>
    <w:rsid w:val="01B34A13"/>
    <w:rsid w:val="01D225A9"/>
    <w:rsid w:val="01E812A5"/>
    <w:rsid w:val="02165375"/>
    <w:rsid w:val="02362A34"/>
    <w:rsid w:val="0255131A"/>
    <w:rsid w:val="028669BE"/>
    <w:rsid w:val="028E6154"/>
    <w:rsid w:val="02F91254"/>
    <w:rsid w:val="02FF0E39"/>
    <w:rsid w:val="03040CCD"/>
    <w:rsid w:val="0337506D"/>
    <w:rsid w:val="03404E17"/>
    <w:rsid w:val="036C4C82"/>
    <w:rsid w:val="03C0185E"/>
    <w:rsid w:val="03D84221"/>
    <w:rsid w:val="04114DD0"/>
    <w:rsid w:val="04386532"/>
    <w:rsid w:val="046B703C"/>
    <w:rsid w:val="049F6495"/>
    <w:rsid w:val="04A55DD3"/>
    <w:rsid w:val="04BD2C91"/>
    <w:rsid w:val="04D20AE5"/>
    <w:rsid w:val="05091BBF"/>
    <w:rsid w:val="050D4AAD"/>
    <w:rsid w:val="05293A29"/>
    <w:rsid w:val="056720A5"/>
    <w:rsid w:val="05C24554"/>
    <w:rsid w:val="061239DA"/>
    <w:rsid w:val="06136505"/>
    <w:rsid w:val="062671DC"/>
    <w:rsid w:val="066936FF"/>
    <w:rsid w:val="06C03FCE"/>
    <w:rsid w:val="06F85D5A"/>
    <w:rsid w:val="071378F5"/>
    <w:rsid w:val="076D5427"/>
    <w:rsid w:val="07731EDA"/>
    <w:rsid w:val="07A92931"/>
    <w:rsid w:val="07B97C0C"/>
    <w:rsid w:val="08423CCF"/>
    <w:rsid w:val="085B6E5F"/>
    <w:rsid w:val="08A912EA"/>
    <w:rsid w:val="090B4468"/>
    <w:rsid w:val="09536CE2"/>
    <w:rsid w:val="09587F5E"/>
    <w:rsid w:val="096D30CF"/>
    <w:rsid w:val="097662B8"/>
    <w:rsid w:val="09EC4E9A"/>
    <w:rsid w:val="0A2B3E51"/>
    <w:rsid w:val="0A2B7F73"/>
    <w:rsid w:val="0A327048"/>
    <w:rsid w:val="0A4038E0"/>
    <w:rsid w:val="0A541832"/>
    <w:rsid w:val="0A835F27"/>
    <w:rsid w:val="0A97493E"/>
    <w:rsid w:val="0AB715F7"/>
    <w:rsid w:val="0B0D7FE5"/>
    <w:rsid w:val="0B15387F"/>
    <w:rsid w:val="0BC11263"/>
    <w:rsid w:val="0BD96283"/>
    <w:rsid w:val="0BDC010B"/>
    <w:rsid w:val="0BED7F86"/>
    <w:rsid w:val="0C510802"/>
    <w:rsid w:val="0D1260BC"/>
    <w:rsid w:val="0D3F2706"/>
    <w:rsid w:val="0D542D4A"/>
    <w:rsid w:val="0D6B1BDB"/>
    <w:rsid w:val="0D817E81"/>
    <w:rsid w:val="0D9C032D"/>
    <w:rsid w:val="0DAF4280"/>
    <w:rsid w:val="0DFA753B"/>
    <w:rsid w:val="0E076AE9"/>
    <w:rsid w:val="0E421E9F"/>
    <w:rsid w:val="0E8A38D7"/>
    <w:rsid w:val="0EBD3DC2"/>
    <w:rsid w:val="0EF75F06"/>
    <w:rsid w:val="0F0240D5"/>
    <w:rsid w:val="0F0B4575"/>
    <w:rsid w:val="0F3D22EA"/>
    <w:rsid w:val="0F410888"/>
    <w:rsid w:val="0F4B0B20"/>
    <w:rsid w:val="0F512D6C"/>
    <w:rsid w:val="0F542C0B"/>
    <w:rsid w:val="0FB924B8"/>
    <w:rsid w:val="0FCC1533"/>
    <w:rsid w:val="0FF73288"/>
    <w:rsid w:val="10B81047"/>
    <w:rsid w:val="10E55ACF"/>
    <w:rsid w:val="11025A9A"/>
    <w:rsid w:val="11272C03"/>
    <w:rsid w:val="113611C5"/>
    <w:rsid w:val="11624886"/>
    <w:rsid w:val="11663B15"/>
    <w:rsid w:val="11854C1C"/>
    <w:rsid w:val="11870049"/>
    <w:rsid w:val="11B87EE0"/>
    <w:rsid w:val="11B968D1"/>
    <w:rsid w:val="12176AF0"/>
    <w:rsid w:val="12843EF9"/>
    <w:rsid w:val="12D36D20"/>
    <w:rsid w:val="12D90C47"/>
    <w:rsid w:val="12EA5CBC"/>
    <w:rsid w:val="12F37483"/>
    <w:rsid w:val="13043ED4"/>
    <w:rsid w:val="132052BC"/>
    <w:rsid w:val="132C1521"/>
    <w:rsid w:val="13AE5522"/>
    <w:rsid w:val="13B801BA"/>
    <w:rsid w:val="13BA3578"/>
    <w:rsid w:val="13CF24C7"/>
    <w:rsid w:val="13F21EF0"/>
    <w:rsid w:val="13FB7CB1"/>
    <w:rsid w:val="1403461B"/>
    <w:rsid w:val="142349C8"/>
    <w:rsid w:val="143D6DFB"/>
    <w:rsid w:val="145452E5"/>
    <w:rsid w:val="148B4C81"/>
    <w:rsid w:val="14D230EC"/>
    <w:rsid w:val="14EB1883"/>
    <w:rsid w:val="15372973"/>
    <w:rsid w:val="154272B5"/>
    <w:rsid w:val="159A5456"/>
    <w:rsid w:val="15CF287D"/>
    <w:rsid w:val="15D63BFD"/>
    <w:rsid w:val="15DC5609"/>
    <w:rsid w:val="15EE3AFE"/>
    <w:rsid w:val="15FB56D6"/>
    <w:rsid w:val="163B20BE"/>
    <w:rsid w:val="169C4E56"/>
    <w:rsid w:val="16A950A8"/>
    <w:rsid w:val="16B329A8"/>
    <w:rsid w:val="16B53EAE"/>
    <w:rsid w:val="17095CC7"/>
    <w:rsid w:val="1732467E"/>
    <w:rsid w:val="174258ED"/>
    <w:rsid w:val="175A2E64"/>
    <w:rsid w:val="17896CFA"/>
    <w:rsid w:val="17D45A8C"/>
    <w:rsid w:val="17E21328"/>
    <w:rsid w:val="17FB18BA"/>
    <w:rsid w:val="182D7E75"/>
    <w:rsid w:val="184C55BE"/>
    <w:rsid w:val="189B493E"/>
    <w:rsid w:val="18C156FE"/>
    <w:rsid w:val="18FE1D0C"/>
    <w:rsid w:val="190469FF"/>
    <w:rsid w:val="192B5C72"/>
    <w:rsid w:val="196B5DCD"/>
    <w:rsid w:val="19B74183"/>
    <w:rsid w:val="19F87913"/>
    <w:rsid w:val="1A0B2B00"/>
    <w:rsid w:val="1A464DC4"/>
    <w:rsid w:val="1B101607"/>
    <w:rsid w:val="1B2F60F5"/>
    <w:rsid w:val="1B3E6618"/>
    <w:rsid w:val="1C6108BB"/>
    <w:rsid w:val="1C7E1E02"/>
    <w:rsid w:val="1CA848A1"/>
    <w:rsid w:val="1CAA22AB"/>
    <w:rsid w:val="1CE005C0"/>
    <w:rsid w:val="1CE354ED"/>
    <w:rsid w:val="1CE576F2"/>
    <w:rsid w:val="1CFB75A6"/>
    <w:rsid w:val="1D1C03D7"/>
    <w:rsid w:val="1D4D3358"/>
    <w:rsid w:val="1D581142"/>
    <w:rsid w:val="1D6015F5"/>
    <w:rsid w:val="1D621892"/>
    <w:rsid w:val="1D656F74"/>
    <w:rsid w:val="1D7579CC"/>
    <w:rsid w:val="1D9317B9"/>
    <w:rsid w:val="1D9E6CC4"/>
    <w:rsid w:val="1DD151B5"/>
    <w:rsid w:val="1DE04BB8"/>
    <w:rsid w:val="1E2E61DF"/>
    <w:rsid w:val="1E54580E"/>
    <w:rsid w:val="1E757AD8"/>
    <w:rsid w:val="1F0032CD"/>
    <w:rsid w:val="1F1719EE"/>
    <w:rsid w:val="1F335FF9"/>
    <w:rsid w:val="1F3F0A29"/>
    <w:rsid w:val="1F572B28"/>
    <w:rsid w:val="1F730F71"/>
    <w:rsid w:val="1F7E179E"/>
    <w:rsid w:val="1F964275"/>
    <w:rsid w:val="1FA70684"/>
    <w:rsid w:val="1FC83696"/>
    <w:rsid w:val="1FCC3ECC"/>
    <w:rsid w:val="200377F1"/>
    <w:rsid w:val="20135EB8"/>
    <w:rsid w:val="202B25F8"/>
    <w:rsid w:val="21051386"/>
    <w:rsid w:val="213B421E"/>
    <w:rsid w:val="21630DBA"/>
    <w:rsid w:val="21CC533A"/>
    <w:rsid w:val="21DB2DD3"/>
    <w:rsid w:val="21E51107"/>
    <w:rsid w:val="22082050"/>
    <w:rsid w:val="22506514"/>
    <w:rsid w:val="228E60BF"/>
    <w:rsid w:val="22935B46"/>
    <w:rsid w:val="22961598"/>
    <w:rsid w:val="22D73079"/>
    <w:rsid w:val="22E22C59"/>
    <w:rsid w:val="234D3929"/>
    <w:rsid w:val="23541932"/>
    <w:rsid w:val="23826133"/>
    <w:rsid w:val="23CD30A4"/>
    <w:rsid w:val="23DC536C"/>
    <w:rsid w:val="240D352F"/>
    <w:rsid w:val="247D4ECA"/>
    <w:rsid w:val="24922D42"/>
    <w:rsid w:val="24927187"/>
    <w:rsid w:val="24B41DC8"/>
    <w:rsid w:val="24B527D7"/>
    <w:rsid w:val="24B578FA"/>
    <w:rsid w:val="24D276CB"/>
    <w:rsid w:val="24EC172E"/>
    <w:rsid w:val="2575528E"/>
    <w:rsid w:val="25900048"/>
    <w:rsid w:val="25A45A3C"/>
    <w:rsid w:val="25A4761E"/>
    <w:rsid w:val="25BF622B"/>
    <w:rsid w:val="25E12785"/>
    <w:rsid w:val="2613318A"/>
    <w:rsid w:val="26151600"/>
    <w:rsid w:val="26581E6E"/>
    <w:rsid w:val="26B54B63"/>
    <w:rsid w:val="26CA7391"/>
    <w:rsid w:val="2709690F"/>
    <w:rsid w:val="271946A1"/>
    <w:rsid w:val="271F7879"/>
    <w:rsid w:val="27283F67"/>
    <w:rsid w:val="27393819"/>
    <w:rsid w:val="2739606C"/>
    <w:rsid w:val="273D3222"/>
    <w:rsid w:val="27404151"/>
    <w:rsid w:val="27933B92"/>
    <w:rsid w:val="27B25551"/>
    <w:rsid w:val="27CC1648"/>
    <w:rsid w:val="280129D7"/>
    <w:rsid w:val="280744DD"/>
    <w:rsid w:val="286C493A"/>
    <w:rsid w:val="28A0271E"/>
    <w:rsid w:val="29176FB2"/>
    <w:rsid w:val="292E7DEF"/>
    <w:rsid w:val="29352E54"/>
    <w:rsid w:val="29547BC4"/>
    <w:rsid w:val="296733FA"/>
    <w:rsid w:val="299C6CB5"/>
    <w:rsid w:val="29AC16E3"/>
    <w:rsid w:val="29C3093C"/>
    <w:rsid w:val="29D94976"/>
    <w:rsid w:val="2A223EAC"/>
    <w:rsid w:val="2A474E87"/>
    <w:rsid w:val="2A502E1B"/>
    <w:rsid w:val="2A75021C"/>
    <w:rsid w:val="2AD013C9"/>
    <w:rsid w:val="2AE45309"/>
    <w:rsid w:val="2B4E79D6"/>
    <w:rsid w:val="2B9B4238"/>
    <w:rsid w:val="2C134AEF"/>
    <w:rsid w:val="2C6150EC"/>
    <w:rsid w:val="2C6C1E69"/>
    <w:rsid w:val="2C787A0A"/>
    <w:rsid w:val="2C8D45AA"/>
    <w:rsid w:val="2C920118"/>
    <w:rsid w:val="2CC275EE"/>
    <w:rsid w:val="2CC610BB"/>
    <w:rsid w:val="2CCC7A2F"/>
    <w:rsid w:val="2D21013D"/>
    <w:rsid w:val="2D4E158F"/>
    <w:rsid w:val="2D71574D"/>
    <w:rsid w:val="2DCD08D2"/>
    <w:rsid w:val="2E046913"/>
    <w:rsid w:val="2E4A005C"/>
    <w:rsid w:val="2E8D4481"/>
    <w:rsid w:val="2EC75549"/>
    <w:rsid w:val="2EE029D9"/>
    <w:rsid w:val="2F172EC5"/>
    <w:rsid w:val="2F1C72FC"/>
    <w:rsid w:val="2F8D2746"/>
    <w:rsid w:val="2FA05C1F"/>
    <w:rsid w:val="2FA3501B"/>
    <w:rsid w:val="2FA7374A"/>
    <w:rsid w:val="2FC4512F"/>
    <w:rsid w:val="2FE774D1"/>
    <w:rsid w:val="305F56A6"/>
    <w:rsid w:val="30906EF6"/>
    <w:rsid w:val="30A54307"/>
    <w:rsid w:val="30B63EEC"/>
    <w:rsid w:val="31087BF7"/>
    <w:rsid w:val="3149611E"/>
    <w:rsid w:val="31947902"/>
    <w:rsid w:val="31C70184"/>
    <w:rsid w:val="31D0645F"/>
    <w:rsid w:val="31E43451"/>
    <w:rsid w:val="31E85DFB"/>
    <w:rsid w:val="31F40A62"/>
    <w:rsid w:val="32085EEA"/>
    <w:rsid w:val="320A1B3D"/>
    <w:rsid w:val="326F27DC"/>
    <w:rsid w:val="327A6A63"/>
    <w:rsid w:val="328A6951"/>
    <w:rsid w:val="33C15A9D"/>
    <w:rsid w:val="33CE43C5"/>
    <w:rsid w:val="33E2761E"/>
    <w:rsid w:val="33ED0162"/>
    <w:rsid w:val="340F40E3"/>
    <w:rsid w:val="34AC5E26"/>
    <w:rsid w:val="34D47520"/>
    <w:rsid w:val="350E6DA3"/>
    <w:rsid w:val="35163620"/>
    <w:rsid w:val="35A3323F"/>
    <w:rsid w:val="35A57D75"/>
    <w:rsid w:val="35DC5DA7"/>
    <w:rsid w:val="35EF23E4"/>
    <w:rsid w:val="35FA58A0"/>
    <w:rsid w:val="36255FB7"/>
    <w:rsid w:val="36292D10"/>
    <w:rsid w:val="366F2379"/>
    <w:rsid w:val="367869D2"/>
    <w:rsid w:val="367C1606"/>
    <w:rsid w:val="36B56003"/>
    <w:rsid w:val="36C52477"/>
    <w:rsid w:val="36DC5B61"/>
    <w:rsid w:val="36E35581"/>
    <w:rsid w:val="37482116"/>
    <w:rsid w:val="37704D44"/>
    <w:rsid w:val="37791B81"/>
    <w:rsid w:val="37B56AE5"/>
    <w:rsid w:val="37BD3B90"/>
    <w:rsid w:val="37D231F3"/>
    <w:rsid w:val="38124733"/>
    <w:rsid w:val="38460B75"/>
    <w:rsid w:val="38C04A2B"/>
    <w:rsid w:val="391332E6"/>
    <w:rsid w:val="39420DA8"/>
    <w:rsid w:val="396E7FD8"/>
    <w:rsid w:val="398F4E35"/>
    <w:rsid w:val="399B22FD"/>
    <w:rsid w:val="39AE22AB"/>
    <w:rsid w:val="39B8452F"/>
    <w:rsid w:val="39C51092"/>
    <w:rsid w:val="39D8321D"/>
    <w:rsid w:val="39F6604A"/>
    <w:rsid w:val="3A4B7EC8"/>
    <w:rsid w:val="3A7C7AEB"/>
    <w:rsid w:val="3A8123ED"/>
    <w:rsid w:val="3A847FC8"/>
    <w:rsid w:val="3AB47011"/>
    <w:rsid w:val="3AC457DD"/>
    <w:rsid w:val="3AC93C11"/>
    <w:rsid w:val="3ADC4430"/>
    <w:rsid w:val="3AFA4DFF"/>
    <w:rsid w:val="3B4433D7"/>
    <w:rsid w:val="3B5516BD"/>
    <w:rsid w:val="3B556C7B"/>
    <w:rsid w:val="3B613F8C"/>
    <w:rsid w:val="3B8E47F4"/>
    <w:rsid w:val="3BA21668"/>
    <w:rsid w:val="3C002D2A"/>
    <w:rsid w:val="3C233025"/>
    <w:rsid w:val="3C3F2298"/>
    <w:rsid w:val="3CBF5AFE"/>
    <w:rsid w:val="3CD50896"/>
    <w:rsid w:val="3CDF2D1F"/>
    <w:rsid w:val="3CE10208"/>
    <w:rsid w:val="3CF727B5"/>
    <w:rsid w:val="3D1B482A"/>
    <w:rsid w:val="3D5866E5"/>
    <w:rsid w:val="3D5F768E"/>
    <w:rsid w:val="3D7171BB"/>
    <w:rsid w:val="3D8B00CB"/>
    <w:rsid w:val="3D945D40"/>
    <w:rsid w:val="3DE17755"/>
    <w:rsid w:val="3DE96EC7"/>
    <w:rsid w:val="3E011EC6"/>
    <w:rsid w:val="3E841C59"/>
    <w:rsid w:val="3EAD5C3B"/>
    <w:rsid w:val="3ED56E3D"/>
    <w:rsid w:val="3EF828EF"/>
    <w:rsid w:val="3F116342"/>
    <w:rsid w:val="3F292D30"/>
    <w:rsid w:val="3F2F41CE"/>
    <w:rsid w:val="3F3F4A5A"/>
    <w:rsid w:val="3F830750"/>
    <w:rsid w:val="3F912D81"/>
    <w:rsid w:val="3FB719AB"/>
    <w:rsid w:val="3FC741B0"/>
    <w:rsid w:val="3FD055D7"/>
    <w:rsid w:val="3FDF3D15"/>
    <w:rsid w:val="3FEA00DC"/>
    <w:rsid w:val="40297384"/>
    <w:rsid w:val="40337EAD"/>
    <w:rsid w:val="40442A93"/>
    <w:rsid w:val="404460EA"/>
    <w:rsid w:val="4048144F"/>
    <w:rsid w:val="40542142"/>
    <w:rsid w:val="40564FBC"/>
    <w:rsid w:val="40645CC5"/>
    <w:rsid w:val="407A4354"/>
    <w:rsid w:val="40E8556B"/>
    <w:rsid w:val="416F7CCF"/>
    <w:rsid w:val="41815D2F"/>
    <w:rsid w:val="419747DD"/>
    <w:rsid w:val="41F0685E"/>
    <w:rsid w:val="42137847"/>
    <w:rsid w:val="4248097F"/>
    <w:rsid w:val="4254643D"/>
    <w:rsid w:val="42642DA8"/>
    <w:rsid w:val="42973E05"/>
    <w:rsid w:val="42AC04D0"/>
    <w:rsid w:val="42CF7B25"/>
    <w:rsid w:val="42D00296"/>
    <w:rsid w:val="42FB7EAC"/>
    <w:rsid w:val="43124DB2"/>
    <w:rsid w:val="432043B2"/>
    <w:rsid w:val="438A1CC5"/>
    <w:rsid w:val="439422FD"/>
    <w:rsid w:val="43AD097E"/>
    <w:rsid w:val="43BE3BFD"/>
    <w:rsid w:val="43C425E1"/>
    <w:rsid w:val="440A0AC3"/>
    <w:rsid w:val="44107720"/>
    <w:rsid w:val="4427562F"/>
    <w:rsid w:val="445A306B"/>
    <w:rsid w:val="44673E2A"/>
    <w:rsid w:val="447B1B50"/>
    <w:rsid w:val="44931256"/>
    <w:rsid w:val="45284074"/>
    <w:rsid w:val="453C62BB"/>
    <w:rsid w:val="45642789"/>
    <w:rsid w:val="45792FB7"/>
    <w:rsid w:val="457B724C"/>
    <w:rsid w:val="45CD2D28"/>
    <w:rsid w:val="45F92A29"/>
    <w:rsid w:val="46011FAD"/>
    <w:rsid w:val="462A10E3"/>
    <w:rsid w:val="465B6787"/>
    <w:rsid w:val="46B57E51"/>
    <w:rsid w:val="46C70800"/>
    <w:rsid w:val="46CD39B0"/>
    <w:rsid w:val="46EE3A7C"/>
    <w:rsid w:val="477A1D28"/>
    <w:rsid w:val="47AE02B5"/>
    <w:rsid w:val="47BF466E"/>
    <w:rsid w:val="47C5589D"/>
    <w:rsid w:val="47D472D7"/>
    <w:rsid w:val="481B4DB8"/>
    <w:rsid w:val="48364A31"/>
    <w:rsid w:val="483A7F05"/>
    <w:rsid w:val="48912E94"/>
    <w:rsid w:val="48B71520"/>
    <w:rsid w:val="48B759C0"/>
    <w:rsid w:val="48D00057"/>
    <w:rsid w:val="48D3260F"/>
    <w:rsid w:val="490E5F3F"/>
    <w:rsid w:val="49E44D8A"/>
    <w:rsid w:val="49EC5FF4"/>
    <w:rsid w:val="4A322099"/>
    <w:rsid w:val="4A4051EF"/>
    <w:rsid w:val="4A495D2D"/>
    <w:rsid w:val="4ABA6D48"/>
    <w:rsid w:val="4AD8290A"/>
    <w:rsid w:val="4ADE1D62"/>
    <w:rsid w:val="4AE73971"/>
    <w:rsid w:val="4AF24623"/>
    <w:rsid w:val="4B0D79C2"/>
    <w:rsid w:val="4B707B5B"/>
    <w:rsid w:val="4B755BA3"/>
    <w:rsid w:val="4B8078D6"/>
    <w:rsid w:val="4B82457B"/>
    <w:rsid w:val="4B9E69A7"/>
    <w:rsid w:val="4BAE1441"/>
    <w:rsid w:val="4BDD6368"/>
    <w:rsid w:val="4BEF5A8E"/>
    <w:rsid w:val="4C1F543B"/>
    <w:rsid w:val="4C245667"/>
    <w:rsid w:val="4C421A8A"/>
    <w:rsid w:val="4C576F06"/>
    <w:rsid w:val="4C6C695F"/>
    <w:rsid w:val="4D247B5D"/>
    <w:rsid w:val="4D6A4931"/>
    <w:rsid w:val="4D6D76B7"/>
    <w:rsid w:val="4D76426C"/>
    <w:rsid w:val="4DA43BD6"/>
    <w:rsid w:val="4DB47654"/>
    <w:rsid w:val="4DC63991"/>
    <w:rsid w:val="4DC73B97"/>
    <w:rsid w:val="4DD5793A"/>
    <w:rsid w:val="4DF34243"/>
    <w:rsid w:val="4E5827B1"/>
    <w:rsid w:val="4E5D6199"/>
    <w:rsid w:val="4E76155D"/>
    <w:rsid w:val="4E833A0E"/>
    <w:rsid w:val="4F2C3E65"/>
    <w:rsid w:val="4F5C5A81"/>
    <w:rsid w:val="4FD97D15"/>
    <w:rsid w:val="501837B0"/>
    <w:rsid w:val="50207E94"/>
    <w:rsid w:val="505165ED"/>
    <w:rsid w:val="519B7108"/>
    <w:rsid w:val="51C43505"/>
    <w:rsid w:val="51D84EF3"/>
    <w:rsid w:val="51DF4501"/>
    <w:rsid w:val="52617B9A"/>
    <w:rsid w:val="526A0EA3"/>
    <w:rsid w:val="527B3ECE"/>
    <w:rsid w:val="52A56F95"/>
    <w:rsid w:val="52E30177"/>
    <w:rsid w:val="52F05286"/>
    <w:rsid w:val="5306714B"/>
    <w:rsid w:val="531C52ED"/>
    <w:rsid w:val="533E5A53"/>
    <w:rsid w:val="53417F4F"/>
    <w:rsid w:val="535C1CA7"/>
    <w:rsid w:val="536E3862"/>
    <w:rsid w:val="53A4550B"/>
    <w:rsid w:val="53E97734"/>
    <w:rsid w:val="549402BD"/>
    <w:rsid w:val="549A2529"/>
    <w:rsid w:val="54EC2723"/>
    <w:rsid w:val="550C0DEA"/>
    <w:rsid w:val="5514217D"/>
    <w:rsid w:val="552F0C24"/>
    <w:rsid w:val="555B0AE3"/>
    <w:rsid w:val="55833F56"/>
    <w:rsid w:val="55B151A9"/>
    <w:rsid w:val="55BB0B38"/>
    <w:rsid w:val="55BF0E11"/>
    <w:rsid w:val="55EC2B74"/>
    <w:rsid w:val="55FB6C6E"/>
    <w:rsid w:val="56136CDA"/>
    <w:rsid w:val="56150ED4"/>
    <w:rsid w:val="56182B77"/>
    <w:rsid w:val="56303C70"/>
    <w:rsid w:val="563E3517"/>
    <w:rsid w:val="565E5B98"/>
    <w:rsid w:val="56D67B51"/>
    <w:rsid w:val="56D70299"/>
    <w:rsid w:val="56F31AAD"/>
    <w:rsid w:val="575876A2"/>
    <w:rsid w:val="577A118B"/>
    <w:rsid w:val="578431C6"/>
    <w:rsid w:val="579F67E1"/>
    <w:rsid w:val="583C2693"/>
    <w:rsid w:val="58761D2A"/>
    <w:rsid w:val="589255DC"/>
    <w:rsid w:val="58981098"/>
    <w:rsid w:val="5901277B"/>
    <w:rsid w:val="590B1266"/>
    <w:rsid w:val="592525C4"/>
    <w:rsid w:val="59321CCB"/>
    <w:rsid w:val="59753409"/>
    <w:rsid w:val="59A16768"/>
    <w:rsid w:val="59D455F2"/>
    <w:rsid w:val="59E24831"/>
    <w:rsid w:val="5AC45BA6"/>
    <w:rsid w:val="5AE57691"/>
    <w:rsid w:val="5B263A9C"/>
    <w:rsid w:val="5B397FB7"/>
    <w:rsid w:val="5B490CC0"/>
    <w:rsid w:val="5B640683"/>
    <w:rsid w:val="5B7641FB"/>
    <w:rsid w:val="5B775FD2"/>
    <w:rsid w:val="5B7E3700"/>
    <w:rsid w:val="5B8F66C5"/>
    <w:rsid w:val="5C0C6BEE"/>
    <w:rsid w:val="5C0E47B4"/>
    <w:rsid w:val="5C161418"/>
    <w:rsid w:val="5C303836"/>
    <w:rsid w:val="5C3E421A"/>
    <w:rsid w:val="5C50541C"/>
    <w:rsid w:val="5C62269E"/>
    <w:rsid w:val="5C86060B"/>
    <w:rsid w:val="5C993F97"/>
    <w:rsid w:val="5C9D39DA"/>
    <w:rsid w:val="5CB669E4"/>
    <w:rsid w:val="5D070EA5"/>
    <w:rsid w:val="5D090ACA"/>
    <w:rsid w:val="5D226AF7"/>
    <w:rsid w:val="5D3033C6"/>
    <w:rsid w:val="5D433826"/>
    <w:rsid w:val="5D832EEF"/>
    <w:rsid w:val="5E1A7F73"/>
    <w:rsid w:val="5E2C72EB"/>
    <w:rsid w:val="5E390E1F"/>
    <w:rsid w:val="5E4635CA"/>
    <w:rsid w:val="5E51557F"/>
    <w:rsid w:val="5E584923"/>
    <w:rsid w:val="5E6621D5"/>
    <w:rsid w:val="5E8F6FF0"/>
    <w:rsid w:val="5EA12B1C"/>
    <w:rsid w:val="5EA35790"/>
    <w:rsid w:val="5EBF1F9E"/>
    <w:rsid w:val="5ECA3277"/>
    <w:rsid w:val="5EDC5BD0"/>
    <w:rsid w:val="5EDF452C"/>
    <w:rsid w:val="5EEB60D3"/>
    <w:rsid w:val="5F3B1BE0"/>
    <w:rsid w:val="5F3C47F7"/>
    <w:rsid w:val="5F6246BA"/>
    <w:rsid w:val="5F7543A8"/>
    <w:rsid w:val="5F842392"/>
    <w:rsid w:val="5F991715"/>
    <w:rsid w:val="5FA75A48"/>
    <w:rsid w:val="5FBF6B7E"/>
    <w:rsid w:val="5FC265B3"/>
    <w:rsid w:val="5FE4315F"/>
    <w:rsid w:val="600227C8"/>
    <w:rsid w:val="602B2D4A"/>
    <w:rsid w:val="60624BDB"/>
    <w:rsid w:val="60E97765"/>
    <w:rsid w:val="60F82C89"/>
    <w:rsid w:val="60FE2C3F"/>
    <w:rsid w:val="6133546F"/>
    <w:rsid w:val="615146FA"/>
    <w:rsid w:val="61974B16"/>
    <w:rsid w:val="619F5A05"/>
    <w:rsid w:val="61E202A6"/>
    <w:rsid w:val="61E4277E"/>
    <w:rsid w:val="61E63E0C"/>
    <w:rsid w:val="62070FA1"/>
    <w:rsid w:val="62093885"/>
    <w:rsid w:val="621217BE"/>
    <w:rsid w:val="621A6F8F"/>
    <w:rsid w:val="623533CC"/>
    <w:rsid w:val="623B41C7"/>
    <w:rsid w:val="62526D3D"/>
    <w:rsid w:val="62542D9B"/>
    <w:rsid w:val="62833086"/>
    <w:rsid w:val="628C458A"/>
    <w:rsid w:val="62CD2B33"/>
    <w:rsid w:val="632E5C46"/>
    <w:rsid w:val="636859C5"/>
    <w:rsid w:val="637B5628"/>
    <w:rsid w:val="63870B4C"/>
    <w:rsid w:val="63BD39E6"/>
    <w:rsid w:val="63DB479D"/>
    <w:rsid w:val="63EF3EB1"/>
    <w:rsid w:val="6403436A"/>
    <w:rsid w:val="6414480C"/>
    <w:rsid w:val="64472CE4"/>
    <w:rsid w:val="64620820"/>
    <w:rsid w:val="64681E85"/>
    <w:rsid w:val="6558633E"/>
    <w:rsid w:val="65C276F5"/>
    <w:rsid w:val="65EB65E8"/>
    <w:rsid w:val="65EC7B94"/>
    <w:rsid w:val="6619624C"/>
    <w:rsid w:val="66342E08"/>
    <w:rsid w:val="663D6669"/>
    <w:rsid w:val="66497A6B"/>
    <w:rsid w:val="666B0070"/>
    <w:rsid w:val="66B30FDB"/>
    <w:rsid w:val="678302BC"/>
    <w:rsid w:val="67A207DF"/>
    <w:rsid w:val="67A32D76"/>
    <w:rsid w:val="67AA3BE1"/>
    <w:rsid w:val="67BF6715"/>
    <w:rsid w:val="67DE553F"/>
    <w:rsid w:val="67E56BF0"/>
    <w:rsid w:val="67F30E07"/>
    <w:rsid w:val="67FD18C9"/>
    <w:rsid w:val="68176C23"/>
    <w:rsid w:val="681E5F23"/>
    <w:rsid w:val="6838262E"/>
    <w:rsid w:val="68593FE3"/>
    <w:rsid w:val="68957C01"/>
    <w:rsid w:val="68A01520"/>
    <w:rsid w:val="68A32333"/>
    <w:rsid w:val="68C6622F"/>
    <w:rsid w:val="691555DA"/>
    <w:rsid w:val="69517B32"/>
    <w:rsid w:val="696514E4"/>
    <w:rsid w:val="69673443"/>
    <w:rsid w:val="69C04ABB"/>
    <w:rsid w:val="69CA5400"/>
    <w:rsid w:val="69EB7AC5"/>
    <w:rsid w:val="6A276579"/>
    <w:rsid w:val="6A904242"/>
    <w:rsid w:val="6AA0434D"/>
    <w:rsid w:val="6AAE0252"/>
    <w:rsid w:val="6ABF7757"/>
    <w:rsid w:val="6AC65BC7"/>
    <w:rsid w:val="6ACE4D37"/>
    <w:rsid w:val="6AD94EA8"/>
    <w:rsid w:val="6B9C1A1D"/>
    <w:rsid w:val="6C0B3676"/>
    <w:rsid w:val="6C1300A2"/>
    <w:rsid w:val="6C213165"/>
    <w:rsid w:val="6C2D651B"/>
    <w:rsid w:val="6C3D6662"/>
    <w:rsid w:val="6C43610C"/>
    <w:rsid w:val="6C485EB9"/>
    <w:rsid w:val="6CA640CB"/>
    <w:rsid w:val="6CDE057E"/>
    <w:rsid w:val="6D5C20F1"/>
    <w:rsid w:val="6E00025A"/>
    <w:rsid w:val="6E1B40DF"/>
    <w:rsid w:val="6E1B7EB7"/>
    <w:rsid w:val="6E2D6569"/>
    <w:rsid w:val="6E2E148A"/>
    <w:rsid w:val="6E7C4447"/>
    <w:rsid w:val="6EE10409"/>
    <w:rsid w:val="6EF9441A"/>
    <w:rsid w:val="6F03408E"/>
    <w:rsid w:val="6F227649"/>
    <w:rsid w:val="6F461335"/>
    <w:rsid w:val="6F5C6426"/>
    <w:rsid w:val="6F9A78BF"/>
    <w:rsid w:val="6FC21988"/>
    <w:rsid w:val="6FCC0769"/>
    <w:rsid w:val="6FD71E11"/>
    <w:rsid w:val="70347B1B"/>
    <w:rsid w:val="706E0DB9"/>
    <w:rsid w:val="70C7777F"/>
    <w:rsid w:val="70DC0F3A"/>
    <w:rsid w:val="715C6E4A"/>
    <w:rsid w:val="715F7D1F"/>
    <w:rsid w:val="71A71FB4"/>
    <w:rsid w:val="71ED7A78"/>
    <w:rsid w:val="72146FE5"/>
    <w:rsid w:val="721A7D64"/>
    <w:rsid w:val="72282507"/>
    <w:rsid w:val="722F10FA"/>
    <w:rsid w:val="72476A02"/>
    <w:rsid w:val="725E37C6"/>
    <w:rsid w:val="72620D8B"/>
    <w:rsid w:val="7274774E"/>
    <w:rsid w:val="72AA2887"/>
    <w:rsid w:val="72DD7B69"/>
    <w:rsid w:val="730D391B"/>
    <w:rsid w:val="73525B60"/>
    <w:rsid w:val="7396760B"/>
    <w:rsid w:val="73A919D8"/>
    <w:rsid w:val="73B870F9"/>
    <w:rsid w:val="73BC0182"/>
    <w:rsid w:val="73DC2F75"/>
    <w:rsid w:val="74966354"/>
    <w:rsid w:val="74B62F38"/>
    <w:rsid w:val="750263A5"/>
    <w:rsid w:val="752F546D"/>
    <w:rsid w:val="756015F8"/>
    <w:rsid w:val="759D747D"/>
    <w:rsid w:val="75A67A21"/>
    <w:rsid w:val="75B74AA0"/>
    <w:rsid w:val="75E848BC"/>
    <w:rsid w:val="761F029E"/>
    <w:rsid w:val="762D47F8"/>
    <w:rsid w:val="762F4253"/>
    <w:rsid w:val="76355280"/>
    <w:rsid w:val="7655794F"/>
    <w:rsid w:val="76C57D8A"/>
    <w:rsid w:val="76E15DFB"/>
    <w:rsid w:val="7753681B"/>
    <w:rsid w:val="775F5B45"/>
    <w:rsid w:val="77667C2A"/>
    <w:rsid w:val="7768486C"/>
    <w:rsid w:val="777D0E86"/>
    <w:rsid w:val="77820D78"/>
    <w:rsid w:val="779C4B53"/>
    <w:rsid w:val="77B15C8C"/>
    <w:rsid w:val="77B34A1D"/>
    <w:rsid w:val="77B91A0C"/>
    <w:rsid w:val="78431FAF"/>
    <w:rsid w:val="78724A45"/>
    <w:rsid w:val="78823025"/>
    <w:rsid w:val="79153558"/>
    <w:rsid w:val="793D4199"/>
    <w:rsid w:val="79421110"/>
    <w:rsid w:val="797F6542"/>
    <w:rsid w:val="799228EE"/>
    <w:rsid w:val="79CD2757"/>
    <w:rsid w:val="79D07C69"/>
    <w:rsid w:val="7A481C15"/>
    <w:rsid w:val="7A6E4950"/>
    <w:rsid w:val="7A817929"/>
    <w:rsid w:val="7B12208E"/>
    <w:rsid w:val="7B2456A1"/>
    <w:rsid w:val="7B2C1F5B"/>
    <w:rsid w:val="7B550B7A"/>
    <w:rsid w:val="7B5A7743"/>
    <w:rsid w:val="7BCC1A1B"/>
    <w:rsid w:val="7BF66B1F"/>
    <w:rsid w:val="7C27553B"/>
    <w:rsid w:val="7C391D27"/>
    <w:rsid w:val="7C446581"/>
    <w:rsid w:val="7CEC4DD7"/>
    <w:rsid w:val="7D261A42"/>
    <w:rsid w:val="7D312820"/>
    <w:rsid w:val="7D7341DE"/>
    <w:rsid w:val="7D9A7C4B"/>
    <w:rsid w:val="7D9C542E"/>
    <w:rsid w:val="7DA17EF3"/>
    <w:rsid w:val="7DA85D23"/>
    <w:rsid w:val="7DCA0A20"/>
    <w:rsid w:val="7DDF5D95"/>
    <w:rsid w:val="7DE61A73"/>
    <w:rsid w:val="7E397AD8"/>
    <w:rsid w:val="7E597C40"/>
    <w:rsid w:val="7EAA2389"/>
    <w:rsid w:val="7EF40E65"/>
    <w:rsid w:val="7F577381"/>
    <w:rsid w:val="7FCC438E"/>
    <w:rsid w:val="7FCE147D"/>
    <w:rsid w:val="7FEB723C"/>
    <w:rsid w:val="7FEF3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5542</Words>
  <Characters>5551</Characters>
  <Lines>290</Lines>
  <Paragraphs>81</Paragraphs>
  <TotalTime>0</TotalTime>
  <ScaleCrop>false</ScaleCrop>
  <LinksUpToDate>false</LinksUpToDate>
  <CharactersWithSpaces>5676</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2025-02-07T03:12:21Z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