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default" w:ascii="楷体" w:hAnsi="楷体" w:eastAsia="楷体"/>
          <w:lang w:val="en-US"/>
        </w:rPr>
      </w:pPr>
      <w:r>
        <mc:AlternateContent>
          <mc:Choice Requires="wps">
            <w:drawing>
              <wp:anchor distT="45720" distB="45720" distL="114300" distR="114300" simplePos="0" relativeHeight="251663360" behindDoc="0" locked="0" layoutInCell="1" allowOverlap="1">
                <wp:simplePos x="0" y="0"/>
                <wp:positionH relativeFrom="margin">
                  <wp:posOffset>-212725</wp:posOffset>
                </wp:positionH>
                <wp:positionV relativeFrom="paragraph">
                  <wp:posOffset>401320</wp:posOffset>
                </wp:positionV>
                <wp:extent cx="5834380" cy="2715260"/>
                <wp:effectExtent l="4445" t="4445" r="9525" b="23495"/>
                <wp:wrapSquare wrapText="bothSides"/>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34380" cy="2715260"/>
                        </a:xfrm>
                        <a:prstGeom prst="rect">
                          <a:avLst/>
                        </a:prstGeom>
                        <a:solidFill>
                          <a:srgbClr val="FFFFFF"/>
                        </a:solidFill>
                        <a:ln w="9525">
                          <a:solidFill>
                            <a:srgbClr val="000000"/>
                          </a:solidFill>
                          <a:miter lim="800000"/>
                        </a:ln>
                        <a:effectLst/>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75pt;margin-top:31.6pt;height:213.8pt;width:459.4pt;mso-position-horizontal-relative:margin;mso-wrap-distance-bottom:3.6pt;mso-wrap-distance-left:9pt;mso-wrap-distance-right:9pt;mso-wrap-distance-top:3.6pt;z-index:251663360;mso-width-relative:page;mso-height-relative:page;" fillcolor="#FFFFFF" filled="t" stroked="t" coordsize="21600,21600" o:gfxdata="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MgNBVHaAAAACgEAAA8AAAAAAAAA&#10;AQAgAAAAIgAAAGRycy9kb3ducmV2LnhtbFBLAQIUABQAAAAIAIdO4kCOOIJ4SAIAAJYEAAAOAAAA&#10;AAAAAAEAIAAAACkBAABkcnMvZTJvRG9jLnhtbFBLBQYAAAAABgAGAFkBAADjBQAAAAA=&#10;">
                <v:fill on="t" focussize="0,0"/>
                <v:stroke color="#000000" miterlimit="8" joinstyle="miter"/>
                <v:imagedata o:title=""/>
                <o:lock v:ext="edit" aspectratio="f"/>
                <v:textbo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jc w:val="left"/>
                        <w:rPr>
                          <w:rFonts w:ascii="楷体" w:hAnsi="楷体" w:eastAsia="楷体"/>
                          <w:b/>
                          <w:u w:val="single"/>
                        </w:rPr>
                      </w:pPr>
                      <w:r>
                        <w:rPr>
                          <w:rFonts w:hint="eastAsia" w:ascii="楷体" w:hAnsi="楷体" w:eastAsia="楷体"/>
                          <w:b/>
                          <w:u w:val="single"/>
                        </w:rPr>
                        <w:t>本产品销售机构可为投资者提供</w:t>
                      </w:r>
                      <w:r>
                        <w:rPr>
                          <w:rFonts w:hint="eastAsia" w:ascii="楷体" w:hAnsi="楷体" w:eastAsia="楷体"/>
                          <w:b/>
                          <w:u w:val="single"/>
                          <w:lang w:val="en-US" w:eastAsia="zh-CN"/>
                        </w:rPr>
                        <w:t>每个自然日1万元额度的</w:t>
                      </w:r>
                      <w:r>
                        <w:rPr>
                          <w:rFonts w:hint="eastAsia" w:ascii="楷体" w:hAnsi="楷体" w:eastAsia="楷体"/>
                          <w:b/>
                          <w:u w:val="single"/>
                        </w:rPr>
                        <w:t>“快速赎回”增值服务，客户可通过销售机构进行快速赎回，如无特殊情况，快速赎回资金将于赎回申请日当日到账。特别说明“快速赎回”为本理财产品的增值服务，</w:t>
                      </w:r>
                      <w:r>
                        <w:rPr>
                          <w:rFonts w:hint="eastAsia" w:ascii="楷体" w:hAnsi="楷体" w:eastAsia="楷体"/>
                          <w:b/>
                          <w:u w:val="single"/>
                          <w:lang w:val="en-US" w:eastAsia="zh-CN"/>
                        </w:rPr>
                        <w:t>非法定义务，</w:t>
                      </w:r>
                      <w:r>
                        <w:rPr>
                          <w:rFonts w:hint="eastAsia" w:ascii="楷体" w:hAnsi="楷体" w:eastAsia="楷体"/>
                          <w:b/>
                          <w:u w:val="single"/>
                        </w:rPr>
                        <w:t>是否开通以销售机构设置为准，“快速赎回”业务处理规则以销售机构的快速赎回服务协议约定为准。</w:t>
                      </w:r>
                      <w:r>
                        <w:rPr>
                          <w:rFonts w:hint="eastAsia" w:ascii="楷体" w:hAnsi="楷体" w:eastAsia="楷体"/>
                          <w:b/>
                          <w:u w:val="single"/>
                          <w:lang w:val="en-US" w:eastAsia="zh-CN"/>
                        </w:rPr>
                        <w:t>销售机构因特殊情况</w:t>
                      </w:r>
                      <w:r>
                        <w:rPr>
                          <w:rFonts w:hint="eastAsia" w:ascii="楷体" w:hAnsi="楷体" w:eastAsia="楷体"/>
                          <w:b/>
                          <w:u w:val="single"/>
                        </w:rPr>
                        <w:t>（包括但不限于专门用于快速赎回业务的账户异常或账户余额不足等）无法继续提供快速赎回服务的</w:t>
                      </w:r>
                      <w:r>
                        <w:rPr>
                          <w:rFonts w:hint="eastAsia" w:ascii="楷体" w:hAnsi="楷体" w:eastAsia="楷体"/>
                          <w:b/>
                          <w:u w:val="single"/>
                          <w:lang w:eastAsia="zh-CN"/>
                        </w:rPr>
                        <w:t>，</w:t>
                      </w:r>
                      <w:r>
                        <w:rPr>
                          <w:rFonts w:hint="eastAsia" w:ascii="楷体" w:hAnsi="楷体" w:eastAsia="楷体"/>
                          <w:b/>
                          <w:u w:val="single"/>
                          <w:lang w:val="en-US" w:eastAsia="zh-CN"/>
                        </w:rPr>
                        <w:t>销售机构有权暂停或终止“快速赎回”业务，这可能影响您的资金使用安排。</w:t>
                      </w:r>
                    </w:p>
                    <w:p>
                      <w:pPr>
                        <w:numPr>
                          <w:ilvl w:val="0"/>
                          <w:numId w:val="1"/>
                        </w:numPr>
                        <w:jc w:val="left"/>
                        <w:rPr>
                          <w:rFonts w:ascii="楷体" w:hAnsi="楷体" w:eastAsia="楷体"/>
                          <w:b/>
                          <w:u w:val="single"/>
                        </w:rPr>
                      </w:pPr>
                      <w:r>
                        <w:rPr>
                          <w:rFonts w:hint="eastAsia" w:ascii="楷体" w:hAnsi="楷体" w:eastAsia="楷体"/>
                          <w:b/>
                          <w:u w:val="single"/>
                        </w:rPr>
                        <w:t>份额确认前投资者已扣划的申购资金属于在途待确认份额状态，苏银理财不计付在途资金从扣款日至份额确认日间的利息。</w:t>
                      </w:r>
                    </w:p>
                    <w:p>
                      <w:pPr>
                        <w:numPr>
                          <w:ilvl w:val="0"/>
                          <w:numId w:val="1"/>
                        </w:numPr>
                        <w:jc w:val="left"/>
                        <w:rPr>
                          <w:rFonts w:ascii="楷体" w:hAnsi="楷体" w:eastAsia="楷体"/>
                          <w:b/>
                          <w:u w:val="single"/>
                        </w:rPr>
                      </w:pPr>
                      <w:r>
                        <w:rPr>
                          <w:rFonts w:hint="eastAsia" w:ascii="楷体" w:hAnsi="楷体" w:eastAsia="楷体"/>
                          <w:b/>
                          <w:u w:val="single"/>
                        </w:rPr>
                        <w:t>本产品每日分红、红利再投，客户继续持有的红利份额可参与后续理财产品投资收益分配</w:t>
                      </w:r>
                      <w:r>
                        <w:rPr>
                          <w:rFonts w:hint="eastAsia" w:ascii="楷体" w:hAnsi="楷体" w:eastAsia="楷体"/>
                          <w:b/>
                          <w:u w:val="single"/>
                          <w:lang w:eastAsia="zh-CN"/>
                        </w:rPr>
                        <w:t>。</w:t>
                      </w:r>
                    </w:p>
                    <w:p>
                      <w:pPr>
                        <w:numPr>
                          <w:ilvl w:val="0"/>
                          <w:numId w:val="1"/>
                        </w:numPr>
                        <w:jc w:val="left"/>
                        <w:rPr>
                          <w:rFonts w:ascii="楷体" w:hAnsi="楷体" w:eastAsia="楷体"/>
                          <w:b/>
                          <w:u w:val="single"/>
                        </w:rPr>
                      </w:pPr>
                      <w:r>
                        <w:rPr>
                          <w:rFonts w:hint="eastAsia" w:ascii="楷体" w:hAnsi="楷体" w:eastAsia="楷体"/>
                          <w:b/>
                          <w:u w:val="single"/>
                        </w:rPr>
                        <w:t>客户服务热线：</w:t>
                      </w:r>
                      <w:r>
                        <w:rPr>
                          <w:rFonts w:hint="eastAsia" w:ascii="楷体" w:hAnsi="楷体" w:eastAsia="楷体"/>
                          <w:b/>
                          <w:u w:val="single"/>
                          <w:lang w:eastAsia="zh-CN"/>
                        </w:rPr>
                        <w:t>95319-8-2</w:t>
                      </w:r>
                      <w:r>
                        <w:rPr>
                          <w:rFonts w:hint="eastAsia" w:ascii="楷体" w:hAnsi="楷体" w:eastAsia="楷体"/>
                          <w:b/>
                          <w:u w:val="single"/>
                        </w:rPr>
                        <w:t>。</w:t>
                      </w:r>
                    </w:p>
                    <w:p>
                      <w:pPr>
                        <w:ind w:left="360" w:right="115" w:rightChars="55"/>
                        <w:rPr>
                          <w:rFonts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lang w:val="en-US" w:eastAsia="zh-CN"/>
        </w:rPr>
        <w:t xml:space="preserve">  </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w:t>
      </w: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理财产品合同</w:t>
      </w:r>
    </w:p>
    <w:p>
      <w:pPr>
        <w:pStyle w:val="12"/>
        <w:spacing w:before="0" w:beforeAutospacing="0" w:after="0" w:afterAutospacing="0" w:line="360" w:lineRule="auto"/>
        <w:jc w:val="center"/>
        <w:outlineLvl w:val="1"/>
        <w:rPr>
          <w:rFonts w:ascii="楷体" w:hAnsi="楷体" w:eastAsia="楷体"/>
          <w:b/>
        </w:rPr>
      </w:pPr>
      <w:r>
        <w:rPr>
          <w:rFonts w:hint="eastAsia" w:ascii="楷体" w:hAnsi="楷体" w:eastAsia="楷体"/>
          <w:b/>
          <w:sz w:val="32"/>
          <w:szCs w:val="32"/>
        </w:rPr>
        <w:t>理财非存款、产品有风险、投资须谨慎</w:t>
      </w:r>
    </w:p>
    <w:p>
      <w:pPr>
        <w:pStyle w:val="12"/>
        <w:spacing w:before="0" w:beforeAutospacing="0" w:after="0" w:afterAutospacing="0" w:line="360" w:lineRule="auto"/>
        <w:jc w:val="center"/>
        <w:rPr>
          <w:rFonts w:ascii="楷体" w:hAnsi="楷体" w:eastAsia="楷体"/>
          <w:b/>
        </w:rPr>
      </w:pPr>
      <w:r>
        <w:rPr>
          <w:rFonts w:hint="eastAsia" w:ascii="楷体" w:hAnsi="楷体" w:eastAsia="楷体"/>
          <w:b/>
        </w:rPr>
        <w:t>（202</w:t>
      </w:r>
      <w:r>
        <w:rPr>
          <w:rFonts w:hint="eastAsia" w:ascii="楷体" w:hAnsi="楷体" w:eastAsia="楷体"/>
          <w:b/>
          <w:lang w:val="en-US" w:eastAsia="zh-CN"/>
        </w:rPr>
        <w:t>5</w:t>
      </w:r>
      <w:r>
        <w:rPr>
          <w:rFonts w:hint="eastAsia" w:ascii="楷体" w:hAnsi="楷体" w:eastAsia="楷体"/>
          <w:b/>
        </w:rPr>
        <w:t>年</w:t>
      </w:r>
      <w:r>
        <w:rPr>
          <w:rFonts w:hint="eastAsia" w:ascii="楷体" w:hAnsi="楷体" w:eastAsia="楷体"/>
          <w:b/>
          <w:lang w:val="en-US" w:eastAsia="zh-CN"/>
        </w:rPr>
        <w:t>2</w:t>
      </w:r>
      <w:r>
        <w:rPr>
          <w:rFonts w:hint="eastAsia" w:ascii="楷体" w:hAnsi="楷体" w:eastAsia="楷体"/>
          <w:b/>
        </w:rPr>
        <w:t>月版）</w:t>
      </w:r>
    </w:p>
    <w:p>
      <w:pPr>
        <w:pStyle w:val="12"/>
        <w:spacing w:before="0" w:beforeAutospacing="0" w:after="0" w:afterAutospacing="0" w:line="360" w:lineRule="auto"/>
        <w:rPr>
          <w:rFonts w:ascii="楷体" w:hAnsi="楷体" w:eastAsia="楷体"/>
          <w:b/>
          <w:sz w:val="30"/>
          <w:szCs w:val="30"/>
        </w:rPr>
      </w:pPr>
    </w:p>
    <w:tbl>
      <w:tblPr>
        <w:tblStyle w:val="14"/>
        <w:tblW w:w="895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094"/>
        <w:gridCol w:w="286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序号</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理财产品合同中的具体文件名称</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Style w:val="17"/>
                <w:rFonts w:hint="eastAsia" w:ascii="楷体" w:hAnsi="楷体" w:eastAsia="楷体"/>
                <w:bCs w:val="0"/>
                <w:sz w:val="18"/>
                <w:szCs w:val="18"/>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1</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”理财产品风险揭示书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2</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w:t>
            </w:r>
            <w:r>
              <w:rPr>
                <w:rFonts w:hint="eastAsia" w:ascii="楷体" w:hAnsi="楷体" w:eastAsia="楷体"/>
                <w:sz w:val="18"/>
                <w:szCs w:val="18"/>
                <w:lang w:eastAsia="zh-CN"/>
              </w:rPr>
              <w:t>苏银理财启源现金5号</w:t>
            </w:r>
            <w:r>
              <w:rPr>
                <w:rFonts w:hint="eastAsia" w:ascii="楷体" w:hAnsi="楷体" w:eastAsia="楷体"/>
                <w:sz w:val="18"/>
                <w:szCs w:val="18"/>
              </w:rPr>
              <w:t>”理财产品说明书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3</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苏银理财有限责任公司理财产品投资协议书</w:t>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4</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投资者权益须知</w:t>
            </w:r>
            <w:r>
              <w:rPr>
                <w:rStyle w:val="20"/>
                <w:rFonts w:ascii="楷体" w:hAnsi="楷体" w:eastAsia="楷体"/>
                <w:highlight w:val="none"/>
              </w:rPr>
              <w:footnoteReference w:id="0"/>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3"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5</w:t>
            </w:r>
          </w:p>
        </w:tc>
        <w:tc>
          <w:tcPr>
            <w:tcW w:w="5094"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highlight w:val="yellow"/>
              </w:rPr>
            </w:pPr>
            <w:r>
              <w:rPr>
                <w:rFonts w:hint="eastAsia" w:ascii="楷体" w:hAnsi="楷体" w:eastAsia="楷体"/>
                <w:sz w:val="18"/>
                <w:szCs w:val="18"/>
              </w:rPr>
              <w:t>理财产品（代理）销售协议书</w:t>
            </w:r>
            <w:r>
              <w:rPr>
                <w:rStyle w:val="20"/>
                <w:rFonts w:ascii="楷体" w:hAnsi="楷体" w:eastAsia="楷体"/>
                <w:highlight w:val="none"/>
              </w:rPr>
              <w:footnoteReference w:id="1"/>
            </w:r>
          </w:p>
        </w:tc>
        <w:tc>
          <w:tcPr>
            <w:tcW w:w="2867" w:type="dxa"/>
            <w:tcBorders>
              <w:top w:val="single" w:color="auto" w:sz="12" w:space="0"/>
              <w:left w:val="single" w:color="auto" w:sz="12" w:space="0"/>
              <w:bottom w:val="single" w:color="auto" w:sz="12" w:space="0"/>
              <w:right w:val="single" w:color="auto" w:sz="12" w:space="0"/>
            </w:tcBorders>
          </w:tcPr>
          <w:p>
            <w:pPr>
              <w:pStyle w:val="12"/>
              <w:spacing w:before="0" w:beforeAutospacing="0" w:after="0" w:afterAutospacing="0" w:line="360" w:lineRule="auto"/>
              <w:jc w:val="center"/>
              <w:rPr>
                <w:rFonts w:ascii="楷体" w:hAnsi="楷体" w:eastAsia="楷体"/>
                <w:sz w:val="18"/>
                <w:szCs w:val="18"/>
              </w:rPr>
            </w:pPr>
            <w:r>
              <w:rPr>
                <w:rFonts w:hint="eastAsia" w:ascii="楷体" w:hAnsi="楷体" w:eastAsia="楷体"/>
                <w:sz w:val="18"/>
                <w:szCs w:val="18"/>
              </w:rPr>
              <w:t>理财产品（代理）销售协议书</w:t>
            </w:r>
          </w:p>
        </w:tc>
      </w:tr>
    </w:tbl>
    <w:p>
      <w:pPr>
        <w:pStyle w:val="12"/>
        <w:spacing w:before="0" w:beforeAutospacing="0" w:after="0" w:afterAutospacing="0" w:line="280" w:lineRule="atLeast"/>
      </w:pPr>
    </w:p>
    <w:p>
      <w:pPr>
        <w:pStyle w:val="12"/>
        <w:spacing w:before="0" w:beforeAutospacing="0" w:after="0" w:afterAutospacing="0" w:line="280" w:lineRule="atLeast"/>
        <w:rPr>
          <w:rFonts w:ascii="楷体" w:hAnsi="楷体" w:eastAsia="楷体"/>
        </w:rPr>
      </w:pPr>
      <w:r>
        <w:rPr>
          <w:rStyle w:val="17"/>
          <w:rFonts w:hint="eastAsia" w:ascii="楷体" w:hAnsi="楷体" w:eastAsia="楷体"/>
          <w:bCs w:val="0"/>
        </w:rPr>
        <w:t>郑重提示：</w:t>
      </w:r>
    </w:p>
    <w:p>
      <w:pPr>
        <w:pStyle w:val="12"/>
        <w:spacing w:before="0" w:beforeAutospacing="0" w:after="0" w:afterAutospacing="0" w:line="280" w:lineRule="atLeast"/>
        <w:rPr>
          <w:rFonts w:ascii="楷体" w:hAnsi="楷体" w:eastAsia="楷体"/>
        </w:rPr>
      </w:pPr>
    </w:p>
    <w:p>
      <w:pPr>
        <w:pStyle w:val="12"/>
        <w:spacing w:before="0" w:beforeAutospacing="0" w:after="0" w:afterAutospacing="0"/>
        <w:ind w:firstLine="480" w:firstLineChars="200"/>
        <w:rPr>
          <w:rFonts w:ascii="楷体" w:hAnsi="楷体" w:eastAsia="楷体"/>
        </w:rPr>
      </w:pPr>
      <w:r>
        <w:rPr>
          <w:rFonts w:hint="eastAsia" w:ascii="楷体" w:hAnsi="楷体" w:eastAsia="楷体" w:cs="Times New Roman"/>
        </w:rPr>
        <w:t>《风险揭示书》、《理财产品说明书》、《理财产品（代理）销售协议书》</w:t>
      </w:r>
      <w:r>
        <w:rPr>
          <w:rFonts w:hint="eastAsia" w:ascii="楷体" w:hAnsi="楷体" w:eastAsia="楷体" w:cs="Times New Roman"/>
          <w:lang w:eastAsia="zh-CN"/>
        </w:rPr>
        <w:t>、</w:t>
      </w:r>
      <w:r>
        <w:rPr>
          <w:rFonts w:hint="eastAsia" w:ascii="楷体" w:hAnsi="楷体" w:eastAsia="楷体" w:cs="Times New Roman"/>
        </w:rPr>
        <w:t>《理财产品投资协议书》、《投资者权益须知》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rPr>
      </w:pP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rPr>
          <w:rFonts w:hint="eastAsia" w:ascii="Times New Roman" w:hAnsi="Times New Roman" w:eastAsia="宋体" w:cs="Times New Roman"/>
          <w:kern w:val="2"/>
          <w:sz w:val="21"/>
          <w:szCs w:val="22"/>
          <w:lang w:val="en-US" w:eastAsia="zh-CN" w:bidi="ar-SA"/>
        </w:rPr>
      </w:pPr>
    </w:p>
    <w:p>
      <w:pPr>
        <w:pStyle w:val="12"/>
        <w:spacing w:before="0" w:beforeAutospacing="0" w:after="0" w:afterAutospacing="0"/>
        <w:ind w:firstLine="480" w:firstLineChars="200"/>
        <w:rPr>
          <w:rFonts w:hint="eastAsia" w:ascii="楷体" w:hAnsi="楷体" w:eastAsia="楷体" w:cs="Times New Roman"/>
        </w:rPr>
      </w:pPr>
    </w:p>
    <w:p>
      <w:pPr>
        <w:ind w:firstLine="360" w:firstLineChars="150"/>
        <w:jc w:val="right"/>
        <w:rPr>
          <w:rFonts w:ascii="楷体" w:hAnsi="楷体" w:eastAsia="楷体"/>
          <w:sz w:val="24"/>
          <w:szCs w:val="24"/>
        </w:rPr>
      </w:pPr>
    </w:p>
    <w:p>
      <w:pPr>
        <w:rPr>
          <w:rFonts w:ascii="楷体" w:hAnsi="楷体" w:eastAsia="楷体"/>
        </w:rPr>
        <w:sectPr>
          <w:headerReference r:id="rId6" w:type="first"/>
          <w:headerReference r:id="rId4" w:type="default"/>
          <w:footerReference r:id="rId7" w:type="default"/>
          <w:headerReference r:id="rId5" w:type="even"/>
          <w:pgSz w:w="11906" w:h="16838"/>
          <w:pgMar w:top="1440" w:right="1800" w:bottom="1440" w:left="1701" w:header="851" w:footer="992" w:gutter="0"/>
          <w:cols w:space="720" w:num="1"/>
          <w:docGrid w:type="lines" w:linePitch="312" w:charSpace="0"/>
        </w:sectPr>
      </w:pPr>
    </w:p>
    <w:p>
      <w:pPr>
        <w:pStyle w:val="12"/>
        <w:spacing w:before="0" w:beforeAutospacing="0" w:after="0" w:afterAutospacing="0" w:line="360" w:lineRule="auto"/>
        <w:jc w:val="center"/>
        <w:outlineLvl w:val="0"/>
        <w:rPr>
          <w:rFonts w:ascii="楷体" w:hAnsi="楷体" w:eastAsia="楷体"/>
          <w:b/>
          <w:sz w:val="36"/>
          <w:szCs w:val="36"/>
        </w:rPr>
      </w:pPr>
      <w:r>
        <w:rPr>
          <w:rFonts w:hint="eastAsia" w:ascii="楷体" w:hAnsi="楷体" w:eastAsia="楷体"/>
          <w:b/>
          <w:sz w:val="36"/>
          <w:szCs w:val="36"/>
        </w:rPr>
        <w:t>“</w:t>
      </w:r>
      <w:r>
        <w:rPr>
          <w:rFonts w:hint="eastAsia" w:ascii="楷体" w:hAnsi="楷体" w:eastAsia="楷体"/>
          <w:b/>
          <w:sz w:val="36"/>
          <w:szCs w:val="36"/>
          <w:lang w:eastAsia="zh-CN"/>
        </w:rPr>
        <w:t>苏银理财启源现金5号</w:t>
      </w:r>
      <w:r>
        <w:rPr>
          <w:rFonts w:hint="eastAsia" w:ascii="楷体" w:hAnsi="楷体" w:eastAsia="楷体"/>
          <w:b/>
          <w:sz w:val="36"/>
          <w:szCs w:val="36"/>
        </w:rPr>
        <w:t>”理财产品说明书</w:t>
      </w:r>
    </w:p>
    <w:p>
      <w:pPr>
        <w:jc w:val="center"/>
        <w:rPr>
          <w:rFonts w:ascii="楷体" w:hAnsi="楷体" w:eastAsia="楷体"/>
          <w:b/>
          <w:sz w:val="28"/>
          <w:szCs w:val="28"/>
        </w:rPr>
      </w:pPr>
      <w:r>
        <w:rPr>
          <w:rFonts w:hint="eastAsia" w:ascii="楷体" w:hAnsi="楷体" w:eastAsia="楷体" w:cs="宋体"/>
          <w:b/>
          <w:kern w:val="0"/>
          <w:sz w:val="32"/>
          <w:szCs w:val="32"/>
        </w:rPr>
        <w:t>理财非存款、产品有风险、投资须谨慎</w:t>
      </w:r>
    </w:p>
    <w:p>
      <w:pPr>
        <w:rPr>
          <w:rFonts w:ascii="楷体" w:hAnsi="楷体" w:eastAsia="楷体"/>
          <w:b/>
          <w:sz w:val="28"/>
          <w:szCs w:val="28"/>
        </w:rPr>
      </w:pPr>
      <w:r>
        <w:rPr>
          <w:rFonts w:hint="eastAsia" w:ascii="楷体" w:hAnsi="楷体" w:eastAsia="楷体"/>
          <w:b/>
          <w:sz w:val="28"/>
          <w:szCs w:val="28"/>
        </w:rPr>
        <w:t>重要须知</w:t>
      </w:r>
    </w:p>
    <w:p>
      <w:pPr>
        <w:numPr>
          <w:ilvl w:val="0"/>
          <w:numId w:val="2"/>
        </w:numPr>
        <w:rPr>
          <w:rFonts w:ascii="楷体" w:hAnsi="楷体" w:eastAsia="楷体"/>
          <w:sz w:val="24"/>
          <w:szCs w:val="24"/>
        </w:rPr>
      </w:pPr>
      <w:r>
        <w:rPr>
          <w:rFonts w:hint="eastAsia" w:ascii="楷体" w:hAnsi="楷体" w:eastAsia="楷体"/>
          <w:sz w:val="24"/>
          <w:szCs w:val="24"/>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本理财产品不保证本金及收益，您的本金可能因市场变动</w:t>
      </w:r>
      <w:r>
        <w:rPr>
          <w:rFonts w:hint="eastAsia" w:ascii="楷体" w:hAnsi="楷体" w:eastAsia="楷体"/>
          <w:b/>
          <w:color w:val="auto"/>
          <w:sz w:val="24"/>
          <w:szCs w:val="24"/>
          <w:u w:val="single"/>
        </w:rPr>
        <w:t>或者交易违约等事项</w:t>
      </w:r>
      <w:r>
        <w:rPr>
          <w:rFonts w:hint="eastAsia" w:ascii="楷体" w:hAnsi="楷体" w:eastAsia="楷体"/>
          <w:b/>
          <w:sz w:val="24"/>
          <w:szCs w:val="24"/>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本理财产品的任何业绩比较区间、业绩比较基准类似表述均属不具有法律约束力的用语，不代表投资者可能获得的实际收益，亦不构成苏银理财有限责任公司（以下简称“苏银理财”）对本理财产品的任何收益承诺。</w:t>
      </w:r>
    </w:p>
    <w:p>
      <w:pPr>
        <w:numPr>
          <w:ilvl w:val="0"/>
          <w:numId w:val="2"/>
        </w:numPr>
        <w:rPr>
          <w:rFonts w:ascii="楷体" w:hAnsi="楷体" w:eastAsia="楷体"/>
          <w:sz w:val="24"/>
          <w:szCs w:val="24"/>
        </w:rPr>
      </w:pPr>
      <w:r>
        <w:rPr>
          <w:rFonts w:hint="eastAsia" w:ascii="楷体" w:hAnsi="楷体" w:eastAsia="楷体"/>
          <w:sz w:val="24"/>
          <w:szCs w:val="24"/>
        </w:rPr>
        <w:t>《理财产品说明书》、《风险揭示书》、《投资者权益须知》、《理财产品投资协议书》、《理财产品（代理）销售协议书》共同构成本理财产品完整的不可分割的理财产品合同。</w:t>
      </w:r>
    </w:p>
    <w:p>
      <w:pPr>
        <w:numPr>
          <w:ilvl w:val="0"/>
          <w:numId w:val="2"/>
        </w:numPr>
        <w:rPr>
          <w:rFonts w:ascii="楷体" w:hAnsi="楷体" w:eastAsia="楷体"/>
          <w:sz w:val="24"/>
          <w:szCs w:val="24"/>
        </w:rPr>
      </w:pPr>
      <w:r>
        <w:rPr>
          <w:rFonts w:hint="eastAsia" w:ascii="楷体" w:hAnsi="楷体" w:eastAsia="楷体"/>
          <w:sz w:val="24"/>
          <w:szCs w:val="24"/>
        </w:rPr>
        <w:t>本理财产品涉及的主要风险包括政策风险、信用风险、市场风险、流动性风险、管理风险、操作风险、产品不成立风险、延期兑付风险、提前终止风险、信息传递风险、税务风险、代销风险</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、其他风险等。请仔细阅读《“</w:t>
      </w:r>
      <w:r>
        <w:rPr>
          <w:rFonts w:hint="eastAsia" w:ascii="楷体" w:hAnsi="楷体" w:eastAsia="楷体"/>
          <w:sz w:val="24"/>
          <w:szCs w:val="24"/>
          <w:lang w:eastAsia="zh-CN"/>
        </w:rPr>
        <w:t>苏银理财启源现金5号</w:t>
      </w:r>
      <w:r>
        <w:rPr>
          <w:rFonts w:hint="eastAsia" w:ascii="楷体" w:hAnsi="楷体" w:eastAsia="楷体"/>
          <w:sz w:val="24"/>
          <w:szCs w:val="24"/>
        </w:rPr>
        <w:t>”理财产品风险揭示书》的“风险揭示”部分。</w:t>
      </w:r>
    </w:p>
    <w:p>
      <w:pPr>
        <w:numPr>
          <w:ilvl w:val="0"/>
          <w:numId w:val="2"/>
        </w:numPr>
        <w:rPr>
          <w:rFonts w:ascii="楷体" w:hAnsi="楷体" w:eastAsia="楷体"/>
          <w:b/>
          <w:sz w:val="24"/>
          <w:szCs w:val="24"/>
          <w:u w:val="single"/>
        </w:rPr>
      </w:pPr>
      <w:r>
        <w:rPr>
          <w:rFonts w:hint="eastAsia" w:ascii="楷体" w:hAnsi="楷体" w:eastAsia="楷体"/>
          <w:b/>
          <w:sz w:val="24"/>
          <w:szCs w:val="24"/>
          <w:u w:val="single"/>
        </w:rPr>
        <w:t>投资者不得使用贷款、发行债券等筹集的非自有资金投资本理财产品。</w:t>
      </w:r>
    </w:p>
    <w:p>
      <w:pPr>
        <w:numPr>
          <w:ilvl w:val="0"/>
          <w:numId w:val="2"/>
        </w:numPr>
        <w:rPr>
          <w:rFonts w:ascii="楷体" w:hAnsi="楷体" w:eastAsia="楷体"/>
          <w:b/>
          <w:bCs/>
          <w:sz w:val="24"/>
          <w:szCs w:val="24"/>
        </w:rPr>
      </w:pPr>
      <w:r>
        <w:rPr>
          <w:rFonts w:hint="eastAsia" w:ascii="楷体" w:hAnsi="楷体" w:eastAsia="楷体"/>
          <w:sz w:val="24"/>
          <w:szCs w:val="24"/>
        </w:rPr>
        <w:t>本理财产品类型为</w:t>
      </w:r>
      <w:r>
        <w:rPr>
          <w:rFonts w:hint="eastAsia" w:ascii="楷体" w:hAnsi="楷体" w:eastAsia="楷体"/>
          <w:b/>
          <w:sz w:val="24"/>
          <w:szCs w:val="24"/>
          <w:u w:val="single"/>
        </w:rPr>
        <w:t>固定收益类</w:t>
      </w:r>
      <w:r>
        <w:rPr>
          <w:rFonts w:hint="eastAsia" w:ascii="楷体" w:hAnsi="楷体" w:eastAsia="楷体"/>
          <w:sz w:val="24"/>
          <w:szCs w:val="24"/>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b/>
          <w:bCs/>
          <w:sz w:val="24"/>
          <w:szCs w:val="24"/>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u w:val="single"/>
        </w:rPr>
        <w:t>。</w:t>
      </w:r>
    </w:p>
    <w:p>
      <w:pPr>
        <w:numPr>
          <w:ilvl w:val="0"/>
          <w:numId w:val="2"/>
        </w:numPr>
        <w:rPr>
          <w:rFonts w:ascii="楷体" w:hAnsi="楷体" w:eastAsia="楷体"/>
          <w:sz w:val="24"/>
          <w:szCs w:val="24"/>
        </w:rPr>
      </w:pPr>
      <w:r>
        <w:rPr>
          <w:rFonts w:hint="eastAsia" w:ascii="楷体" w:hAnsi="楷体" w:eastAsia="楷体"/>
          <w:sz w:val="24"/>
          <w:szCs w:val="24"/>
        </w:rPr>
        <w:t>为贯彻落实</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和银行业理财登记托管中心的要求，苏银理财将向监管机构报送理财产品投资者身份信息、每日交易、持仓等信息。后续</w:t>
      </w:r>
      <w:r>
        <w:rPr>
          <w:rFonts w:hint="eastAsia" w:ascii="楷体" w:hAnsi="楷体" w:eastAsia="楷体"/>
          <w:color w:val="auto"/>
          <w:sz w:val="24"/>
          <w:szCs w:val="24"/>
          <w:lang w:val="en-US" w:eastAsia="zh-CN"/>
        </w:rPr>
        <w:t>金融监管总局</w:t>
      </w:r>
      <w:r>
        <w:rPr>
          <w:rFonts w:hint="eastAsia" w:ascii="楷体" w:hAnsi="楷体" w:eastAsia="楷体"/>
          <w:sz w:val="24"/>
          <w:szCs w:val="24"/>
        </w:rPr>
        <w:t>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2"/>
        </w:numPr>
        <w:rPr>
          <w:rFonts w:ascii="楷体" w:hAnsi="楷体" w:eastAsia="楷体"/>
          <w:sz w:val="24"/>
          <w:szCs w:val="24"/>
        </w:rPr>
      </w:pPr>
      <w:r>
        <w:rPr>
          <w:rFonts w:hint="eastAsia" w:ascii="楷体" w:hAnsi="楷体" w:eastAsia="楷体"/>
          <w:sz w:val="24"/>
          <w:szCs w:val="24"/>
        </w:rPr>
        <w:t>在本产品存续期内，如因监管政策或法律法规发生变化，在不损害投资者利益的前提下，苏银理财有权单方对本产品条款进行修订，并按说明书约定的信息披露方式予以披露。</w:t>
      </w:r>
    </w:p>
    <w:p>
      <w:pPr>
        <w:numPr>
          <w:ilvl w:val="0"/>
          <w:numId w:val="2"/>
        </w:numPr>
        <w:rPr>
          <w:rFonts w:ascii="楷体" w:hAnsi="楷体" w:eastAsia="楷体"/>
          <w:sz w:val="24"/>
          <w:szCs w:val="24"/>
        </w:rPr>
      </w:pPr>
      <w:r>
        <w:rPr>
          <w:rFonts w:hint="eastAsia" w:ascii="楷体" w:hAnsi="楷体" w:eastAsia="楷体"/>
          <w:sz w:val="24"/>
          <w:szCs w:val="24"/>
        </w:rPr>
        <w:t>在购买本理财产品后，投资者应随时关注该理财产品的信息披露情况，及时获取相关信息。</w:t>
      </w:r>
    </w:p>
    <w:p>
      <w:pPr>
        <w:numPr>
          <w:ilvl w:val="0"/>
          <w:numId w:val="2"/>
        </w:numPr>
        <w:rPr>
          <w:rFonts w:ascii="楷体" w:hAnsi="楷体" w:eastAsia="楷体"/>
        </w:rPr>
      </w:pPr>
      <w:r>
        <w:rPr>
          <w:rFonts w:hint="eastAsia" w:ascii="楷体" w:hAnsi="楷体" w:eastAsia="楷体"/>
          <w:sz w:val="24"/>
          <w:szCs w:val="24"/>
        </w:rPr>
        <w:t>本理财产品说明书在法律许可的范围内由苏银理财负责解释。</w:t>
      </w:r>
    </w:p>
    <w:p>
      <w:pPr>
        <w:numPr>
          <w:ilvl w:val="0"/>
          <w:numId w:val="3"/>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产品要素</w:t>
      </w:r>
    </w:p>
    <w:p>
      <w:pPr>
        <w:ind w:firstLine="480" w:firstLineChars="200"/>
        <w:rPr>
          <w:rFonts w:ascii="楷体" w:hAnsi="楷体" w:eastAsia="楷体" w:cs="Calibri"/>
          <w:sz w:val="24"/>
          <w:szCs w:val="24"/>
        </w:rPr>
      </w:pPr>
      <w:r>
        <w:rPr>
          <w:rFonts w:hint="eastAsia" w:ascii="楷体" w:hAnsi="楷体" w:eastAsia="楷体" w:cs="Calibri"/>
          <w:sz w:val="24"/>
          <w:szCs w:val="24"/>
        </w:rPr>
        <w:t>为保护投资者合法权益，尊重投资者的知情权和自主选择权，现将本理财产品的基本要素说明如下：</w:t>
      </w:r>
    </w:p>
    <w:tbl>
      <w:tblPr>
        <w:tblStyle w:val="14"/>
        <w:tblW w:w="8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81"/>
        <w:gridCol w:w="6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1"/>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产品名称</w:t>
            </w:r>
          </w:p>
        </w:tc>
        <w:tc>
          <w:tcPr>
            <w:tcW w:w="6795" w:type="dxa"/>
            <w:vAlign w:val="center"/>
          </w:tcPr>
          <w:p>
            <w:pPr>
              <w:pStyle w:val="36"/>
              <w:kinsoku w:val="0"/>
              <w:overflowPunct w:val="0"/>
              <w:spacing w:before="13"/>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0"/>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理财产品登记编码</w:t>
            </w:r>
          </w:p>
        </w:tc>
        <w:tc>
          <w:tcPr>
            <w:tcW w:w="6795" w:type="dxa"/>
            <w:vAlign w:val="center"/>
          </w:tcPr>
          <w:p>
            <w:pPr>
              <w:pStyle w:val="36"/>
              <w:kinsoku w:val="0"/>
              <w:overflowPunct w:val="0"/>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rPr>
              <w:t>Z7003123000050</w:t>
            </w:r>
          </w:p>
          <w:p>
            <w:pPr>
              <w:pStyle w:val="36"/>
              <w:kinsoku w:val="0"/>
              <w:overflowPunct w:val="0"/>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（投资者可依据该编码在中国理财网</w:t>
            </w:r>
            <w:r>
              <w:rPr>
                <w:rFonts w:ascii="楷体" w:hAnsi="楷体" w:eastAsia="楷体" w:cs="宋体"/>
                <w:spacing w:val="-2"/>
                <w:sz w:val="21"/>
                <w:szCs w:val="21"/>
              </w:rPr>
              <w:t>www.chinawealth.com</w:t>
            </w:r>
            <w:r>
              <w:rPr>
                <w:rFonts w:hint="eastAsia" w:ascii="楷体" w:hAnsi="楷体" w:eastAsia="楷体" w:cs="宋体"/>
                <w:spacing w:val="-2"/>
                <w:sz w:val="21"/>
                <w:szCs w:val="21"/>
                <w:lang w:val="en-US" w:eastAsia="zh-CN"/>
              </w:rPr>
              <w:t>.</w:t>
            </w:r>
            <w:r>
              <w:rPr>
                <w:rFonts w:ascii="楷体" w:hAnsi="楷体" w:eastAsia="楷体" w:cs="宋体"/>
                <w:spacing w:val="-2"/>
                <w:sz w:val="21"/>
                <w:szCs w:val="21"/>
              </w:rPr>
              <w:t>cn</w:t>
            </w:r>
            <w:r>
              <w:rPr>
                <w:rFonts w:hint="eastAsia" w:ascii="楷体" w:hAnsi="楷体" w:eastAsia="楷体" w:cs="宋体"/>
                <w:spacing w:val="-2"/>
                <w:sz w:val="21"/>
                <w:szCs w:val="21"/>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销售简称/销售代码</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ascii="楷体" w:hAnsi="楷体" w:eastAsia="楷体" w:cs="宋体"/>
                <w:spacing w:val="-2"/>
                <w:sz w:val="21"/>
                <w:szCs w:val="21"/>
              </w:rPr>
              <w:t>J</w:t>
            </w:r>
            <w:r>
              <w:rPr>
                <w:rFonts w:hint="eastAsia" w:ascii="楷体" w:hAnsi="楷体" w:eastAsia="楷体" w:cs="宋体"/>
                <w:spacing w:val="-2"/>
                <w:sz w:val="21"/>
                <w:szCs w:val="21"/>
                <w:lang w:val="en-US" w:eastAsia="zh-CN"/>
              </w:rPr>
              <w:t>02348</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/J02425</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/J02510</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/J0277</w:t>
            </w:r>
            <w:r>
              <w:rPr>
                <w:rFonts w:hint="eastAsia" w:ascii="楷体" w:hAnsi="楷体" w:eastAsia="楷体" w:cs="宋体"/>
                <w:spacing w:val="-2"/>
                <w:sz w:val="21"/>
                <w:szCs w:val="21"/>
                <w:lang w:val="en-US" w:eastAsia="zh-CN"/>
              </w:rPr>
              <w:t>3</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/J0276</w:t>
            </w:r>
            <w:r>
              <w:rPr>
                <w:rFonts w:hint="eastAsia" w:ascii="楷体" w:hAnsi="楷体" w:eastAsia="楷体" w:cs="宋体"/>
                <w:spacing w:val="-2"/>
                <w:sz w:val="21"/>
                <w:szCs w:val="21"/>
                <w:lang w:val="en-US" w:eastAsia="zh-CN"/>
              </w:rPr>
              <w:t>9</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/J0</w:t>
            </w:r>
            <w:r>
              <w:rPr>
                <w:rFonts w:hint="eastAsia" w:ascii="楷体" w:hAnsi="楷体" w:eastAsia="楷体" w:cs="宋体"/>
                <w:spacing w:val="-2"/>
                <w:sz w:val="21"/>
                <w:szCs w:val="21"/>
                <w:lang w:val="en-US" w:eastAsia="zh-CN"/>
              </w:rPr>
              <w:t>3415</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鑫福款/J03576</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苏银理财启源现金5号J/J03644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苏银理财启源现金5号F/J03674</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default" w:ascii="楷体" w:hAnsi="楷体" w:eastAsia="楷体" w:cs="宋体"/>
                <w:spacing w:val="-2"/>
                <w:sz w:val="21"/>
                <w:szCs w:val="21"/>
                <w:lang w:val="en-US" w:eastAsia="zh-CN"/>
              </w:rPr>
              <w:t>苏银理财启源现金</w:t>
            </w:r>
            <w:r>
              <w:rPr>
                <w:rFonts w:hint="eastAsia" w:ascii="楷体" w:hAnsi="楷体" w:eastAsia="楷体" w:cs="宋体"/>
                <w:spacing w:val="-2"/>
                <w:sz w:val="21"/>
                <w:szCs w:val="21"/>
                <w:lang w:val="en-US" w:eastAsia="zh-CN"/>
              </w:rPr>
              <w:t>5</w:t>
            </w:r>
            <w:r>
              <w:rPr>
                <w:rFonts w:hint="default" w:ascii="楷体" w:hAnsi="楷体" w:eastAsia="楷体" w:cs="宋体"/>
                <w:spacing w:val="-2"/>
                <w:sz w:val="21"/>
                <w:szCs w:val="21"/>
                <w:lang w:val="en-US" w:eastAsia="zh-CN"/>
              </w:rPr>
              <w:t>号K/J0380</w:t>
            </w:r>
            <w:r>
              <w:rPr>
                <w:rFonts w:hint="eastAsia" w:ascii="楷体" w:hAnsi="楷体" w:eastAsia="楷体" w:cs="宋体"/>
                <w:spacing w:val="-2"/>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产品管理人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苏银理财有限责任公司，详见下文“二、产品管理人”。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产品托管人</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江苏银行股份有限公司，详见下文“十五、产品托管人”。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销售机构</w:t>
            </w:r>
          </w:p>
        </w:tc>
        <w:tc>
          <w:tcPr>
            <w:tcW w:w="6795" w:type="dxa"/>
            <w:vAlign w:val="center"/>
          </w:tcPr>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详见下文“三、销售机构”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2"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产品内部风险评级</w:t>
            </w:r>
          </w:p>
        </w:tc>
        <w:tc>
          <w:tcPr>
            <w:tcW w:w="6795" w:type="dxa"/>
            <w:vAlign w:val="center"/>
          </w:tcPr>
          <w:p>
            <w:pPr>
              <w:pStyle w:val="36"/>
              <w:kinsoku w:val="0"/>
              <w:overflowPunct w:val="0"/>
              <w:spacing w:before="13"/>
              <w:ind w:left="59" w:right="73" w:rightChars="35"/>
              <w:jc w:val="both"/>
              <w:rPr>
                <w:rFonts w:ascii="楷体" w:hAnsi="楷体" w:eastAsia="楷体" w:cs="宋体"/>
                <w:b/>
                <w:spacing w:val="-2"/>
                <w:sz w:val="21"/>
                <w:szCs w:val="21"/>
                <w:u w:val="single"/>
              </w:rPr>
            </w:pPr>
            <w:r>
              <w:rPr>
                <w:rFonts w:hint="eastAsia" w:ascii="楷体" w:hAnsi="楷体" w:eastAsia="楷体" w:cs="宋体"/>
                <w:spacing w:val="-2"/>
                <w:sz w:val="21"/>
                <w:szCs w:val="21"/>
              </w:rPr>
              <w:t>1、★一级，本评级为苏银理财有限责任公司内部评级，由苏银理财根据理财产品的投资组合、同类产品过往业绩和风险状况等因素，对理财产品进行评级，仅供客户参考。</w:t>
            </w:r>
          </w:p>
          <w:p>
            <w:pPr>
              <w:pStyle w:val="36"/>
              <w:kinsoku w:val="0"/>
              <w:overflowPunct w:val="0"/>
              <w:spacing w:before="13"/>
              <w:ind w:left="59" w:right="73" w:rightChars="35"/>
              <w:jc w:val="both"/>
              <w:rPr>
                <w:rFonts w:ascii="楷体" w:hAnsi="楷体" w:eastAsia="楷体" w:cs="宋体"/>
                <w:spacing w:val="-2"/>
                <w:sz w:val="21"/>
                <w:szCs w:val="21"/>
              </w:rPr>
            </w:pPr>
            <w:r>
              <w:rPr>
                <w:rFonts w:hint="eastAsia" w:ascii="楷体" w:hAnsi="楷体" w:eastAsia="楷体" w:cs="宋体"/>
                <w:spacing w:val="-2"/>
                <w:sz w:val="21"/>
                <w:szCs w:val="21"/>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rPr>
              <w:t>销售评级与</w:t>
            </w:r>
            <w:r>
              <w:rPr>
                <w:rFonts w:hint="eastAsia" w:ascii="楷体" w:hAnsi="楷体" w:eastAsia="楷体" w:cs="宋体"/>
                <w:spacing w:val="-2"/>
                <w:sz w:val="21"/>
                <w:szCs w:val="21"/>
              </w:rPr>
              <w:t>苏银理财</w:t>
            </w:r>
            <w:r>
              <w:rPr>
                <w:rFonts w:ascii="楷体" w:hAnsi="楷体" w:eastAsia="楷体" w:cs="宋体"/>
                <w:spacing w:val="-2"/>
                <w:sz w:val="21"/>
                <w:szCs w:val="21"/>
              </w:rPr>
              <w:t>产品评级结果不一致的，代理销售机构应当采用对应较高风险等级的评级结果并予以披露</w:t>
            </w:r>
            <w:r>
              <w:rPr>
                <w:rFonts w:hint="eastAsia" w:ascii="楷体" w:hAnsi="楷体" w:eastAsia="楷体" w:cs="宋体"/>
                <w:spacing w:val="-2"/>
                <w:sz w:val="21"/>
                <w:szCs w:val="21"/>
              </w:rPr>
              <w:t>。</w:t>
            </w:r>
          </w:p>
          <w:p>
            <w:pPr>
              <w:pStyle w:val="36"/>
              <w:kinsoku w:val="0"/>
              <w:overflowPunct w:val="0"/>
              <w:spacing w:before="13"/>
              <w:ind w:left="115" w:right="115" w:rightChars="55"/>
              <w:jc w:val="both"/>
              <w:rPr>
                <w:rFonts w:ascii="楷体" w:hAnsi="楷体" w:eastAsia="楷体" w:cs="宋体"/>
                <w:spacing w:val="-2"/>
                <w:sz w:val="21"/>
                <w:szCs w:val="21"/>
              </w:rPr>
            </w:pPr>
            <w:r>
              <w:rPr>
                <w:rFonts w:hint="eastAsia" w:ascii="楷体" w:hAnsi="楷体" w:eastAsia="楷体" w:cs="宋体"/>
                <w:bCs/>
                <w:spacing w:val="-2"/>
                <w:sz w:val="21"/>
                <w:szCs w:val="21"/>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w:t>
            </w:r>
            <w:r>
              <w:rPr>
                <w:rFonts w:ascii="楷体" w:hAnsi="楷体" w:eastAsia="楷体" w:cs="宋体"/>
                <w:b/>
                <w:spacing w:val="-2"/>
                <w:sz w:val="21"/>
                <w:szCs w:val="21"/>
                <w:u w:val="single"/>
              </w:rPr>
              <w:t>理财产品评级</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收益类型</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产品类型</w:t>
            </w:r>
          </w:p>
        </w:tc>
        <w:tc>
          <w:tcPr>
            <w:tcW w:w="6795" w:type="dxa"/>
            <w:vAlign w:val="center"/>
          </w:tcPr>
          <w:p>
            <w:pPr>
              <w:pStyle w:val="36"/>
              <w:kinsoku w:val="0"/>
              <w:overflowPunct w:val="0"/>
              <w:spacing w:before="12"/>
              <w:ind w:left="115" w:right="115" w:rightChars="55"/>
              <w:jc w:val="both"/>
              <w:rPr>
                <w:rFonts w:ascii="楷体" w:hAnsi="楷体" w:eastAsia="楷体" w:cs="宋体"/>
                <w:b/>
                <w:spacing w:val="-2"/>
                <w:sz w:val="21"/>
                <w:szCs w:val="21"/>
                <w:u w:val="single"/>
              </w:rPr>
            </w:pPr>
            <w:r>
              <w:rPr>
                <w:rFonts w:hint="eastAsia" w:ascii="楷体" w:hAnsi="楷体" w:eastAsia="楷体" w:cs="宋体"/>
                <w:b/>
                <w:spacing w:val="-2"/>
                <w:sz w:val="21"/>
                <w:szCs w:val="21"/>
                <w:highlight w:val="none"/>
                <w:u w:val="single"/>
                <w:lang w:val="en-US" w:eastAsia="zh-CN"/>
              </w:rPr>
              <w:t>现金管理类、</w:t>
            </w:r>
            <w:r>
              <w:rPr>
                <w:rFonts w:hint="eastAsia" w:ascii="楷体" w:hAnsi="楷体" w:eastAsia="楷体" w:cs="宋体"/>
                <w:b/>
                <w:spacing w:val="-2"/>
                <w:sz w:val="21"/>
                <w:szCs w:val="21"/>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销售对象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个人投资者（</w:t>
            </w:r>
            <w:r>
              <w:rPr>
                <w:rFonts w:hint="eastAsia" w:ascii="楷体" w:hAnsi="楷体" w:eastAsia="楷体" w:cs="宋体"/>
                <w:spacing w:val="-2"/>
                <w:sz w:val="21"/>
                <w:szCs w:val="21"/>
                <w:highlight w:val="none"/>
                <w:lang w:val="en-US" w:eastAsia="zh-CN"/>
              </w:rPr>
              <w:t>销售机构深圳农村商业银行仅限房贷按揭客户</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w:t>
            </w:r>
            <w:r>
              <w:rPr>
                <w:rFonts w:hint="eastAsia" w:ascii="楷体" w:hAnsi="楷体" w:eastAsia="楷体" w:cs="宋体"/>
                <w:spacing w:val="-2"/>
                <w:sz w:val="21"/>
                <w:szCs w:val="21"/>
                <w:lang w:eastAsia="zh-CN"/>
              </w:rPr>
              <w:t>个人和机构投资者。</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default" w:ascii="楷体" w:hAnsi="楷体" w:eastAsia="楷体" w:cs="宋体"/>
                <w:spacing w:val="-2"/>
                <w:sz w:val="21"/>
                <w:szCs w:val="21"/>
                <w:highlight w:val="none"/>
                <w:lang w:val="en-US" w:eastAsia="zh-CN"/>
              </w:rPr>
              <w:t>K</w:t>
            </w:r>
            <w:r>
              <w:rPr>
                <w:rFonts w:hint="eastAsia" w:ascii="楷体" w:hAnsi="楷体" w:eastAsia="楷体" w:cs="宋体"/>
                <w:spacing w:val="-2"/>
                <w:sz w:val="21"/>
                <w:szCs w:val="21"/>
                <w:highlight w:val="none"/>
              </w:rPr>
              <w:t>：个人和机构投资者</w:t>
            </w:r>
            <w:r>
              <w:rPr>
                <w:rFonts w:hint="eastAsia" w:ascii="楷体" w:hAnsi="楷体" w:eastAsia="楷体" w:cs="宋体"/>
                <w:spacing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募集币种</w:t>
            </w:r>
          </w:p>
        </w:tc>
        <w:tc>
          <w:tcPr>
            <w:tcW w:w="6795" w:type="dxa"/>
            <w:vAlign w:val="center"/>
          </w:tcPr>
          <w:p>
            <w:pPr>
              <w:pStyle w:val="36"/>
              <w:kinsoku w:val="0"/>
              <w:overflowPunct w:val="0"/>
              <w:spacing w:before="14"/>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b/>
                <w:bCs/>
                <w:spacing w:val="-2"/>
                <w:sz w:val="21"/>
                <w:szCs w:val="21"/>
              </w:rPr>
              <w:t>计划发行规模</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初始募集规模</w:t>
            </w: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rPr>
              <w:t>亿元，存量规模上限为1</w:t>
            </w:r>
            <w:r>
              <w:rPr>
                <w:rFonts w:hint="eastAsia" w:ascii="楷体" w:hAnsi="楷体" w:eastAsia="楷体" w:cs="宋体"/>
                <w:spacing w:val="-2"/>
                <w:sz w:val="21"/>
                <w:szCs w:val="21"/>
                <w:lang w:val="en-US" w:eastAsia="zh-CN"/>
              </w:rPr>
              <w:t>900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r>
              <w:rPr>
                <w:rFonts w:hint="eastAsia" w:ascii="楷体" w:hAnsi="楷体" w:eastAsia="楷体" w:cs="宋体"/>
                <w:spacing w:val="-2"/>
                <w:sz w:val="21"/>
                <w:szCs w:val="21"/>
              </w:rPr>
              <w:t>各份额发行规模上限如下：</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lang w:val="en-US" w:eastAsia="zh-CN"/>
              </w:rPr>
              <w:t>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highlight w:val="none"/>
              </w:rPr>
              <w:t>苏银理财启源现金</w:t>
            </w:r>
            <w:r>
              <w:rPr>
                <w:rFonts w:hint="eastAsia" w:ascii="楷体" w:hAnsi="楷体" w:eastAsia="楷体" w:cs="宋体"/>
                <w:spacing w:val="-2"/>
                <w:sz w:val="21"/>
                <w:szCs w:val="21"/>
                <w:highlight w:val="none"/>
                <w:lang w:val="en-US" w:eastAsia="zh-CN"/>
              </w:rPr>
              <w:t>5</w:t>
            </w:r>
            <w:r>
              <w:rPr>
                <w:rFonts w:hint="eastAsia" w:ascii="楷体" w:hAnsi="楷体" w:eastAsia="楷体" w:cs="宋体"/>
                <w:spacing w:val="-2"/>
                <w:sz w:val="21"/>
                <w:szCs w:val="21"/>
                <w:highlight w:val="none"/>
              </w:rPr>
              <w:t>号</w:t>
            </w:r>
            <w:r>
              <w:rPr>
                <w:rFonts w:hint="eastAsia" w:ascii="楷体" w:hAnsi="楷体" w:eastAsia="楷体" w:cs="宋体"/>
                <w:spacing w:val="-2"/>
                <w:sz w:val="21"/>
                <w:szCs w:val="21"/>
                <w:highlight w:val="none"/>
                <w:lang w:val="en-US" w:eastAsia="zh-CN"/>
              </w:rPr>
              <w:t>K</w:t>
            </w:r>
            <w:r>
              <w:rPr>
                <w:rFonts w:hint="eastAsia" w:ascii="楷体" w:hAnsi="楷体" w:eastAsia="楷体" w:cs="宋体"/>
                <w:spacing w:val="-2"/>
                <w:sz w:val="21"/>
                <w:szCs w:val="21"/>
              </w:rPr>
              <w:t>：发行规模上限</w:t>
            </w:r>
            <w:r>
              <w:rPr>
                <w:rFonts w:ascii="楷体" w:hAnsi="楷体" w:eastAsia="楷体" w:cs="宋体"/>
                <w:spacing w:val="-2"/>
                <w:sz w:val="21"/>
                <w:szCs w:val="21"/>
              </w:rPr>
              <w:t>100</w:t>
            </w:r>
            <w:r>
              <w:rPr>
                <w:rFonts w:hint="eastAsia" w:ascii="楷体" w:hAnsi="楷体" w:eastAsia="楷体" w:cs="宋体"/>
                <w:spacing w:val="-2"/>
                <w:sz w:val="21"/>
                <w:szCs w:val="21"/>
              </w:rPr>
              <w:t>亿元</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rPr>
              <w:t>管理人有权对</w:t>
            </w:r>
            <w:r>
              <w:rPr>
                <w:rFonts w:hint="eastAsia" w:ascii="楷体" w:hAnsi="楷体" w:eastAsia="楷体" w:cs="宋体"/>
                <w:spacing w:val="-2"/>
                <w:sz w:val="21"/>
                <w:szCs w:val="21"/>
                <w:lang w:eastAsia="zh-CN"/>
              </w:rPr>
              <w:t>各份额</w:t>
            </w:r>
            <w:r>
              <w:rPr>
                <w:rFonts w:hint="eastAsia" w:ascii="楷体" w:hAnsi="楷体" w:eastAsia="楷体" w:cs="宋体"/>
                <w:spacing w:val="-2"/>
                <w:sz w:val="21"/>
                <w:szCs w:val="21"/>
              </w:rPr>
              <w:t>发行规模上限根据实际业务需求进行调整。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购买</w:t>
            </w:r>
            <w:r>
              <w:rPr>
                <w:rFonts w:hint="eastAsia" w:ascii="楷体" w:hAnsi="楷体" w:eastAsia="楷体" w:cs="宋体"/>
                <w:b/>
                <w:spacing w:val="-2"/>
                <w:sz w:val="21"/>
                <w:szCs w:val="21"/>
              </w:rPr>
              <w:t>起点</w:t>
            </w:r>
            <w:r>
              <w:rPr>
                <w:rFonts w:ascii="楷体" w:hAnsi="楷体" w:eastAsia="楷体" w:cs="宋体"/>
                <w:b/>
                <w:spacing w:val="-2"/>
                <w:sz w:val="21"/>
                <w:szCs w:val="21"/>
              </w:rPr>
              <w:t>/</w:t>
            </w:r>
            <w:r>
              <w:rPr>
                <w:rFonts w:hint="eastAsia" w:ascii="楷体" w:hAnsi="楷体" w:eastAsia="楷体" w:cs="宋体"/>
                <w:b/>
                <w:spacing w:val="-2"/>
                <w:sz w:val="21"/>
                <w:szCs w:val="21"/>
              </w:rPr>
              <w:t>追加金额</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A</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W</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X</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B</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S</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号</w:t>
            </w:r>
            <w:r>
              <w:rPr>
                <w:rFonts w:hint="eastAsia" w:ascii="楷体" w:hAnsi="楷体" w:eastAsia="楷体" w:cs="宋体"/>
                <w:spacing w:val="-2"/>
                <w:sz w:val="21"/>
                <w:szCs w:val="21"/>
                <w:lang w:val="en-US" w:eastAsia="zh-CN"/>
              </w:rPr>
              <w:t>H</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default" w:ascii="楷体" w:hAnsi="楷体" w:eastAsia="楷体" w:cs="宋体"/>
                <w:spacing w:val="-2"/>
                <w:sz w:val="21"/>
                <w:szCs w:val="21"/>
                <w:lang w:val="en-US" w:eastAsia="zh-CN"/>
              </w:rPr>
              <w:t>苏银理财启源现金5号JS</w:t>
            </w:r>
            <w:r>
              <w:rPr>
                <w:rFonts w:hint="eastAsia" w:ascii="楷体" w:hAnsi="楷体" w:eastAsia="楷体" w:cs="宋体"/>
                <w:spacing w:val="-2"/>
                <w:sz w:val="21"/>
                <w:szCs w:val="21"/>
                <w:lang w:val="en-US" w:eastAsia="zh-CN"/>
              </w:rPr>
              <w:t>鑫福款</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J</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F</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hint="eastAsia" w:ascii="楷体" w:hAnsi="楷体" w:eastAsia="楷体" w:cs="宋体"/>
                <w:spacing w:val="-2"/>
                <w:sz w:val="21"/>
                <w:szCs w:val="21"/>
                <w:lang w:eastAsia="zh-CN"/>
              </w:rPr>
            </w:pPr>
            <w:r>
              <w:rPr>
                <w:rFonts w:hint="eastAsia" w:ascii="楷体" w:hAnsi="楷体" w:eastAsia="楷体" w:cs="宋体"/>
                <w:spacing w:val="-2"/>
                <w:sz w:val="21"/>
                <w:szCs w:val="21"/>
                <w:lang w:eastAsia="zh-CN"/>
              </w:rPr>
              <w:t>苏银理财启源现金5号</w:t>
            </w:r>
            <w:r>
              <w:rPr>
                <w:rFonts w:hint="eastAsia" w:ascii="楷体" w:hAnsi="楷体" w:eastAsia="楷体" w:cs="宋体"/>
                <w:spacing w:val="-2"/>
                <w:sz w:val="21"/>
                <w:szCs w:val="21"/>
                <w:lang w:val="en-US" w:eastAsia="zh-CN"/>
              </w:rPr>
              <w:t>K</w:t>
            </w:r>
            <w:r>
              <w:rPr>
                <w:rFonts w:hint="eastAsia" w:ascii="楷体" w:hAnsi="楷体" w:eastAsia="楷体" w:cs="宋体"/>
                <w:spacing w:val="-2"/>
                <w:sz w:val="21"/>
                <w:szCs w:val="21"/>
              </w:rPr>
              <w:t>：首次认/申购起点金额为</w:t>
            </w:r>
            <w:r>
              <w:rPr>
                <w:rFonts w:hint="eastAsia" w:ascii="楷体" w:hAnsi="楷体" w:eastAsia="楷体" w:cs="宋体"/>
                <w:spacing w:val="-2"/>
                <w:sz w:val="21"/>
                <w:szCs w:val="21"/>
                <w:lang w:val="en-US" w:eastAsia="zh-CN"/>
              </w:rPr>
              <w:t>0.01</w:t>
            </w:r>
            <w:r>
              <w:rPr>
                <w:rFonts w:hint="eastAsia" w:ascii="楷体" w:hAnsi="楷体" w:eastAsia="楷体" w:cs="宋体"/>
                <w:spacing w:val="-2"/>
                <w:sz w:val="21"/>
                <w:szCs w:val="21"/>
              </w:rPr>
              <w:t>元,追加金额为0</w:t>
            </w:r>
            <w:r>
              <w:rPr>
                <w:rFonts w:ascii="楷体" w:hAnsi="楷体" w:eastAsia="楷体" w:cs="宋体"/>
                <w:spacing w:val="-2"/>
                <w:sz w:val="21"/>
                <w:szCs w:val="21"/>
              </w:rPr>
              <w:t>.</w:t>
            </w:r>
            <w:r>
              <w:rPr>
                <w:rFonts w:hint="eastAsia" w:ascii="楷体" w:hAnsi="楷体" w:eastAsia="楷体" w:cs="宋体"/>
                <w:spacing w:val="-2"/>
                <w:sz w:val="21"/>
                <w:szCs w:val="21"/>
              </w:rPr>
              <w:t>01元的整数倍</w:t>
            </w:r>
            <w:r>
              <w:rPr>
                <w:rFonts w:hint="eastAsia" w:ascii="楷体" w:hAnsi="楷体" w:eastAsia="楷体" w:cs="宋体"/>
                <w:spacing w:val="-2"/>
                <w:sz w:val="21"/>
                <w:szCs w:val="21"/>
                <w:lang w:eastAsia="zh-CN"/>
              </w:rPr>
              <w:t>。</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lang w:val="en-US" w:eastAsia="zh-CN"/>
              </w:rPr>
              <w:t>产品购买起点和追加金额具体以销售机构设置为准，</w:t>
            </w:r>
            <w:r>
              <w:rPr>
                <w:rFonts w:hint="eastAsia" w:ascii="楷体" w:hAnsi="楷体" w:eastAsia="楷体" w:cs="宋体"/>
                <w:spacing w:val="-2"/>
                <w:sz w:val="21"/>
                <w:szCs w:val="21"/>
              </w:rPr>
              <w:t>苏银理财有权对上述起点金额和递增金额进行调整，并在调整前进行公告。</w:t>
            </w:r>
          </w:p>
          <w:p>
            <w:pPr>
              <w:ind w:left="115" w:right="115" w:rightChars="55"/>
              <w:rPr>
                <w:rFonts w:ascii="楷体" w:hAnsi="楷体" w:eastAsia="楷体" w:cs="宋体"/>
                <w:spacing w:val="-2"/>
                <w:szCs w:val="21"/>
              </w:rPr>
            </w:pPr>
            <w:r>
              <w:rPr>
                <w:rFonts w:hint="eastAsia" w:ascii="楷体" w:hAnsi="楷体" w:eastAsia="楷体"/>
                <w:szCs w:val="21"/>
              </w:rPr>
              <w:t>认购资金的清算和认购份额的计算详见下文“八、产品认购”。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份额面值</w:t>
            </w:r>
          </w:p>
        </w:tc>
        <w:tc>
          <w:tcPr>
            <w:tcW w:w="6795" w:type="dxa"/>
            <w:vAlign w:val="center"/>
          </w:tcPr>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单一投资者认/申购上限</w:t>
            </w:r>
          </w:p>
        </w:tc>
        <w:tc>
          <w:tcPr>
            <w:tcW w:w="6795" w:type="dxa"/>
            <w:vAlign w:val="center"/>
          </w:tcPr>
          <w:p>
            <w:pPr>
              <w:pStyle w:val="36"/>
              <w:kinsoku w:val="0"/>
              <w:overflowPunct w:val="0"/>
              <w:spacing w:before="12"/>
              <w:ind w:left="115" w:leftChars="0" w:right="115" w:rightChars="55"/>
              <w:jc w:val="both"/>
              <w:rPr>
                <w:rFonts w:ascii="楷体" w:hAnsi="楷体" w:eastAsia="楷体" w:cs="宋体"/>
                <w:b/>
                <w:spacing w:val="-2"/>
                <w:kern w:val="0"/>
                <w:sz w:val="21"/>
                <w:szCs w:val="21"/>
                <w:u w:val="single"/>
                <w:lang w:val="en-US" w:eastAsia="zh-CN" w:bidi="ar-SA"/>
              </w:rPr>
            </w:pPr>
            <w:r>
              <w:rPr>
                <w:rFonts w:hint="eastAsia" w:ascii="楷体" w:hAnsi="楷体" w:eastAsia="楷体" w:cs="宋体"/>
                <w:spacing w:val="-2"/>
                <w:sz w:val="21"/>
                <w:szCs w:val="21"/>
                <w:highlight w:val="none"/>
                <w:lang w:eastAsia="zh-CN"/>
              </w:rPr>
              <w:t>各份额</w:t>
            </w:r>
            <w:r>
              <w:rPr>
                <w:rFonts w:hint="eastAsia" w:ascii="楷体" w:hAnsi="楷体" w:eastAsia="楷体" w:cs="宋体"/>
                <w:spacing w:val="-2"/>
                <w:sz w:val="21"/>
                <w:szCs w:val="21"/>
                <w:highlight w:val="none"/>
              </w:rPr>
              <w:t>单一投资者单日累计认/申购上限:暂无。超过单日累计认/申购上限时，管理人和销售机构有权拒绝投资者的认/申购申请。产品存续期内管理人和销售机构有权根据实际情况调整单日累计认/申购上限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单一投资者持有</w:t>
            </w:r>
            <w:r>
              <w:rPr>
                <w:rFonts w:hint="eastAsia" w:ascii="楷体" w:hAnsi="楷体" w:eastAsia="楷体" w:cs="宋体"/>
                <w:b/>
                <w:spacing w:val="-2"/>
                <w:sz w:val="21"/>
                <w:szCs w:val="21"/>
                <w:highlight w:val="none"/>
                <w:lang w:val="en-US" w:eastAsia="zh-CN"/>
              </w:rPr>
              <w:t>比例</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本理财产品不允许单一投资者持有份额超过本理财产品总份额的</w:t>
            </w:r>
            <w:r>
              <w:rPr>
                <w:rFonts w:ascii="楷体" w:hAnsi="楷体" w:eastAsia="楷体" w:cs="宋体"/>
                <w:b/>
                <w:spacing w:val="-2"/>
                <w:sz w:val="21"/>
                <w:szCs w:val="21"/>
                <w:highlight w:val="none"/>
                <w:u w:val="single"/>
              </w:rPr>
              <w:t>50%</w:t>
            </w:r>
            <w:r>
              <w:rPr>
                <w:rFonts w:hint="eastAsia" w:ascii="楷体" w:hAnsi="楷体" w:eastAsia="楷体" w:cs="宋体"/>
                <w:spacing w:val="-2"/>
                <w:sz w:val="21"/>
                <w:szCs w:val="21"/>
                <w:highlight w:val="none"/>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pStyle w:val="36"/>
              <w:kinsoku w:val="0"/>
              <w:overflowPunct w:val="0"/>
              <w:spacing w:before="12"/>
              <w:ind w:left="115" w:leftChars="0" w:right="115" w:rightChars="55"/>
              <w:jc w:val="both"/>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产品存续期内管理人和销售机构有权根据实际情况调整单一投资者持有上限</w:t>
            </w:r>
            <w:r>
              <w:rPr>
                <w:rFonts w:ascii="楷体" w:hAnsi="楷体" w:eastAsia="楷体" w:cs="宋体"/>
                <w:spacing w:val="-2"/>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单一投资者</w:t>
            </w:r>
            <w:r>
              <w:rPr>
                <w:rFonts w:ascii="楷体" w:hAnsi="楷体" w:eastAsia="楷体" w:cs="宋体"/>
                <w:b/>
                <w:spacing w:val="-2"/>
                <w:sz w:val="21"/>
                <w:szCs w:val="21"/>
                <w:highlight w:val="none"/>
              </w:rPr>
              <w:t>赎回</w:t>
            </w:r>
            <w:r>
              <w:rPr>
                <w:rFonts w:hint="eastAsia" w:ascii="楷体" w:hAnsi="楷体" w:eastAsia="楷体" w:cs="宋体"/>
                <w:b/>
                <w:spacing w:val="-2"/>
                <w:sz w:val="21"/>
                <w:szCs w:val="21"/>
                <w:highlight w:val="none"/>
              </w:rPr>
              <w:t>上限</w:t>
            </w:r>
          </w:p>
        </w:tc>
        <w:tc>
          <w:tcPr>
            <w:tcW w:w="6795" w:type="dxa"/>
            <w:vAlign w:val="center"/>
          </w:tcPr>
          <w:p>
            <w:pPr>
              <w:pStyle w:val="36"/>
              <w:kinsoku w:val="0"/>
              <w:overflowPunct w:val="0"/>
              <w:spacing w:before="12"/>
              <w:ind w:left="42" w:leftChars="20" w:right="115" w:rightChars="55"/>
              <w:jc w:val="both"/>
              <w:rPr>
                <w:rFonts w:ascii="楷体" w:hAnsi="楷体" w:eastAsia="楷体" w:cs="宋体"/>
                <w:spacing w:val="-2"/>
                <w:kern w:val="0"/>
                <w:sz w:val="21"/>
                <w:szCs w:val="21"/>
                <w:lang w:val="en-US" w:eastAsia="zh-CN" w:bidi="ar-SA"/>
              </w:rPr>
            </w:pPr>
            <w:r>
              <w:rPr>
                <w:rFonts w:hint="eastAsia" w:ascii="楷体" w:hAnsi="楷体" w:eastAsia="楷体" w:cs="宋体"/>
                <w:b/>
                <w:bCs/>
                <w:spacing w:val="-2"/>
                <w:sz w:val="21"/>
                <w:szCs w:val="21"/>
                <w:highlight w:val="none"/>
                <w:u w:val="single"/>
              </w:rPr>
              <w:t>1亿份</w:t>
            </w:r>
            <w:r>
              <w:rPr>
                <w:rFonts w:hint="eastAsia" w:ascii="楷体" w:hAnsi="楷体" w:eastAsia="楷体" w:cs="宋体"/>
                <w:b/>
                <w:bCs/>
                <w:spacing w:val="-2"/>
                <w:sz w:val="21"/>
                <w:szCs w:val="21"/>
                <w:highlight w:val="none"/>
                <w:u w:val="single"/>
                <w:lang w:eastAsia="zh-CN"/>
              </w:rPr>
              <w:t>，</w:t>
            </w:r>
            <w:r>
              <w:rPr>
                <w:rFonts w:hint="eastAsia" w:ascii="楷体" w:hAnsi="楷体" w:eastAsia="楷体" w:cs="宋体"/>
                <w:b/>
                <w:bCs/>
                <w:spacing w:val="-2"/>
                <w:sz w:val="21"/>
                <w:szCs w:val="21"/>
                <w:highlight w:val="none"/>
                <w:u w:val="single"/>
              </w:rPr>
              <w:t>超过单个客户赎回限额时，管理人有权拒绝投资者的</w:t>
            </w:r>
            <w:r>
              <w:rPr>
                <w:rFonts w:hint="eastAsia" w:ascii="楷体" w:hAnsi="楷体" w:eastAsia="楷体" w:cs="宋体"/>
                <w:b/>
                <w:bCs/>
                <w:spacing w:val="-2"/>
                <w:sz w:val="21"/>
                <w:szCs w:val="21"/>
                <w:highlight w:val="none"/>
                <w:u w:val="single"/>
                <w:lang w:val="en-US" w:eastAsia="zh-CN"/>
              </w:rPr>
              <w:t>赎回</w:t>
            </w:r>
            <w:r>
              <w:rPr>
                <w:rFonts w:hint="eastAsia" w:ascii="楷体" w:hAnsi="楷体" w:eastAsia="楷体" w:cs="宋体"/>
                <w:b/>
                <w:bCs/>
                <w:spacing w:val="-2"/>
                <w:sz w:val="21"/>
                <w:szCs w:val="21"/>
                <w:highlight w:val="none"/>
                <w:u w:val="single"/>
              </w:rPr>
              <w:t>申请。对于单个投资者单个开放日申请赎回理财份额超过上一交易日日终理财产品总份额的10%的部分，管理人有权暂停接受其赎回申请。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3"/>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lang w:val="en-US" w:eastAsia="zh-CN"/>
              </w:rPr>
              <w:t>募集</w:t>
            </w:r>
            <w:r>
              <w:rPr>
                <w:rFonts w:hint="eastAsia" w:ascii="楷体" w:hAnsi="楷体" w:eastAsia="楷体" w:cs="宋体"/>
                <w:b/>
                <w:spacing w:val="-2"/>
                <w:sz w:val="21"/>
                <w:szCs w:val="21"/>
              </w:rPr>
              <w:t>期</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26</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22</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日9:00至20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日17:00</w:t>
            </w:r>
          </w:p>
          <w:p>
            <w:pPr>
              <w:pStyle w:val="36"/>
              <w:kinsoku w:val="0"/>
              <w:overflowPunct w:val="0"/>
              <w:spacing w:before="12"/>
              <w:ind w:left="115" w:right="115" w:rightChars="55"/>
              <w:jc w:val="both"/>
              <w:rPr>
                <w:rFonts w:hint="default" w:ascii="楷体" w:hAnsi="楷体" w:eastAsia="楷体" w:cs="宋体"/>
                <w:spacing w:val="-2"/>
                <w:sz w:val="21"/>
                <w:szCs w:val="21"/>
                <w:lang w:val="en-US" w:eastAsia="zh-CN"/>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日9:00至20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日17:00</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highlight w:val="none"/>
              </w:rPr>
              <w:t>管理人在法律允许的范围内保留延长或提前终止产品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期的权利。如有变动，实际产品</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期以管理人公告或各销售机构设置的</w:t>
            </w:r>
            <w:r>
              <w:rPr>
                <w:rFonts w:hint="eastAsia" w:ascii="楷体" w:hAnsi="楷体" w:eastAsia="楷体" w:cs="宋体"/>
                <w:spacing w:val="-2"/>
                <w:sz w:val="21"/>
                <w:szCs w:val="21"/>
                <w:highlight w:val="none"/>
                <w:lang w:val="en-US" w:eastAsia="zh-CN"/>
              </w:rPr>
              <w:t>募集</w:t>
            </w:r>
            <w:r>
              <w:rPr>
                <w:rFonts w:hint="eastAsia" w:ascii="楷体" w:hAnsi="楷体" w:eastAsia="楷体" w:cs="宋体"/>
                <w:spacing w:val="-2"/>
                <w:sz w:val="21"/>
                <w:szCs w:val="21"/>
                <w:highlight w:val="none"/>
              </w:rPr>
              <w:t>时间为准</w:t>
            </w:r>
            <w:r>
              <w:rPr>
                <w:rFonts w:hint="eastAsia" w:ascii="楷体" w:hAnsi="楷体" w:eastAsia="楷体" w:cs="宋体"/>
                <w:spacing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认购份额计算</w:t>
            </w:r>
          </w:p>
        </w:tc>
        <w:tc>
          <w:tcPr>
            <w:tcW w:w="6795" w:type="dxa"/>
            <w:vAlign w:val="center"/>
          </w:tcPr>
          <w:p>
            <w:pPr>
              <w:keepNext w:val="0"/>
              <w:keepLines w:val="0"/>
              <w:pageBreakBefore w:val="0"/>
              <w:widowControl w:val="0"/>
              <w:kinsoku/>
              <w:wordWrap/>
              <w:overflowPunct/>
              <w:topLinePunct w:val="0"/>
              <w:autoSpaceDE/>
              <w:autoSpaceDN/>
              <w:bidi w:val="0"/>
              <w:adjustRightInd/>
              <w:snapToGrid/>
              <w:ind w:left="42" w:leftChars="20" w:right="115" w:rightChars="55"/>
              <w:jc w:val="left"/>
              <w:textAlignment w:val="auto"/>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kern w:val="0"/>
                <w:sz w:val="21"/>
                <w:szCs w:val="21"/>
                <w:highlight w:val="none"/>
                <w:lang w:val="en-US" w:eastAsia="zh-CN" w:bidi="ar-SA"/>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产品成立日</w:t>
            </w:r>
          </w:p>
        </w:tc>
        <w:tc>
          <w:tcPr>
            <w:tcW w:w="6795" w:type="dxa"/>
            <w:vAlign w:val="center"/>
          </w:tcPr>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A份额：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4</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27</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W份额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30</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X份额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29</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B/S份额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H份额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JS份额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10</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23</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J份额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25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rPr>
            </w:pPr>
            <w:r>
              <w:rPr>
                <w:rFonts w:hint="eastAsia" w:ascii="楷体" w:hAnsi="楷体" w:eastAsia="楷体" w:cs="宋体"/>
                <w:spacing w:val="-2"/>
                <w:sz w:val="21"/>
                <w:szCs w:val="21"/>
                <w:lang w:val="en-US" w:eastAsia="zh-CN"/>
              </w:rPr>
              <w:t>F份额</w:t>
            </w: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24</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rPr>
              <w:t>日</w:t>
            </w:r>
          </w:p>
          <w:p>
            <w:pPr>
              <w:pStyle w:val="36"/>
              <w:kinsoku w:val="0"/>
              <w:overflowPunct w:val="0"/>
              <w:spacing w:before="12"/>
              <w:ind w:left="115" w:right="115" w:rightChars="55"/>
              <w:jc w:val="both"/>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highlight w:val="none"/>
                <w:lang w:val="en-US" w:eastAsia="zh-CN"/>
              </w:rPr>
              <w:t>K份额：</w:t>
            </w:r>
            <w:r>
              <w:rPr>
                <w:rFonts w:hint="eastAsia" w:ascii="楷体" w:hAnsi="楷体" w:eastAsia="楷体" w:cs="宋体"/>
                <w:spacing w:val="-2"/>
                <w:sz w:val="21"/>
                <w:szCs w:val="21"/>
                <w:highlight w:val="none"/>
              </w:rPr>
              <w:t>20</w:t>
            </w:r>
            <w:r>
              <w:rPr>
                <w:rFonts w:hint="eastAsia" w:ascii="楷体" w:hAnsi="楷体" w:eastAsia="楷体" w:cs="宋体"/>
                <w:spacing w:val="-2"/>
                <w:sz w:val="21"/>
                <w:szCs w:val="21"/>
                <w:highlight w:val="none"/>
                <w:lang w:val="en-US" w:eastAsia="zh-CN"/>
              </w:rPr>
              <w:t>25</w:t>
            </w:r>
            <w:r>
              <w:rPr>
                <w:rFonts w:hint="eastAsia" w:ascii="楷体" w:hAnsi="楷体" w:eastAsia="楷体" w:cs="宋体"/>
                <w:spacing w:val="-2"/>
                <w:sz w:val="21"/>
                <w:szCs w:val="21"/>
                <w:highlight w:val="none"/>
              </w:rPr>
              <w:t>年</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月</w:t>
            </w:r>
            <w:r>
              <w:rPr>
                <w:rFonts w:hint="eastAsia" w:ascii="楷体" w:hAnsi="楷体" w:eastAsia="楷体" w:cs="宋体"/>
                <w:spacing w:val="-2"/>
                <w:sz w:val="21"/>
                <w:szCs w:val="21"/>
                <w:highlight w:val="none"/>
                <w:lang w:val="en-US" w:eastAsia="zh-CN"/>
              </w:rPr>
              <w:t>11</w:t>
            </w:r>
            <w:r>
              <w:rPr>
                <w:rFonts w:hint="eastAsia" w:ascii="楷体" w:hAnsi="楷体" w:eastAsia="楷体" w:cs="宋体"/>
                <w:spacing w:val="-2"/>
                <w:sz w:val="21"/>
                <w:szCs w:val="21"/>
                <w:highlight w:val="none"/>
              </w:rPr>
              <w:t>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若产品认购份额未达到最低发行总规模</w:t>
            </w:r>
            <w:r>
              <w:rPr>
                <w:rFonts w:hint="eastAsia" w:ascii="楷体" w:hAnsi="楷体" w:eastAsia="楷体" w:cs="宋体"/>
                <w:spacing w:val="-2"/>
                <w:sz w:val="21"/>
                <w:szCs w:val="21"/>
                <w:lang w:val="en-US" w:eastAsia="zh-CN"/>
              </w:rPr>
              <w:t>3000万</w:t>
            </w:r>
            <w:r>
              <w:rPr>
                <w:rFonts w:hint="eastAsia" w:ascii="楷体" w:hAnsi="楷体" w:eastAsia="楷体" w:cs="宋体"/>
                <w:spacing w:val="-2"/>
                <w:sz w:val="21"/>
                <w:szCs w:val="21"/>
              </w:rPr>
              <w:t>，或新的法律、法规导致本产品无法合法合规运行，或出现其他导致影响产品成立不可抗力因素，产品管理人有权利但无义务宣布产品不成立，并于产品认购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2"/>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产品到期日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20</w:t>
            </w:r>
            <w:r>
              <w:rPr>
                <w:rFonts w:hint="eastAsia" w:ascii="楷体" w:hAnsi="楷体" w:eastAsia="楷体" w:cs="宋体"/>
                <w:spacing w:val="-2"/>
                <w:sz w:val="21"/>
                <w:szCs w:val="21"/>
                <w:lang w:val="en-US" w:eastAsia="zh-CN"/>
              </w:rPr>
              <w:t>32</w:t>
            </w:r>
            <w:r>
              <w:rPr>
                <w:rFonts w:hint="eastAsia" w:ascii="楷体" w:hAnsi="楷体" w:eastAsia="楷体" w:cs="宋体"/>
                <w:spacing w:val="-2"/>
                <w:sz w:val="21"/>
                <w:szCs w:val="21"/>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rPr>
              <w:t>月</w:t>
            </w:r>
            <w:r>
              <w:rPr>
                <w:rFonts w:hint="eastAsia" w:ascii="楷体" w:hAnsi="楷体" w:eastAsia="楷体" w:cs="宋体"/>
                <w:spacing w:val="-2"/>
                <w:sz w:val="21"/>
                <w:szCs w:val="21"/>
                <w:lang w:val="en-US" w:eastAsia="zh-CN"/>
              </w:rPr>
              <w:t>31</w:t>
            </w:r>
            <w:r>
              <w:rPr>
                <w:rFonts w:hint="eastAsia" w:ascii="楷体" w:hAnsi="楷体" w:eastAsia="楷体" w:cs="宋体"/>
                <w:spacing w:val="-2"/>
                <w:sz w:val="21"/>
                <w:szCs w:val="21"/>
              </w:rPr>
              <w:t>日（如遇节假日，顺延至下一工作日）</w:t>
            </w:r>
          </w:p>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在符合本理财产品说明书约定的条件下，管理人有权提前终止该产品，产品到期日受制于提前终止条款。详见下文“十三、产品的终止与清算”。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4"/>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开放日</w:t>
            </w:r>
          </w:p>
        </w:tc>
        <w:tc>
          <w:tcPr>
            <w:tcW w:w="6795" w:type="dxa"/>
            <w:vAlign w:val="center"/>
          </w:tcPr>
          <w:p>
            <w:pPr>
              <w:pStyle w:val="36"/>
              <w:kinsoku w:val="0"/>
              <w:overflowPunct w:val="0"/>
              <w:spacing w:before="12"/>
              <w:ind w:left="115" w:right="115" w:rightChars="55"/>
              <w:jc w:val="both"/>
              <w:rPr>
                <w:rFonts w:ascii="楷体" w:hAnsi="楷体" w:eastAsia="楷体" w:cs="宋体"/>
                <w:spacing w:val="-2"/>
                <w:sz w:val="21"/>
                <w:szCs w:val="21"/>
              </w:rPr>
            </w:pPr>
            <w:r>
              <w:rPr>
                <w:rFonts w:hint="eastAsia" w:ascii="楷体" w:hAnsi="楷体" w:eastAsia="楷体" w:cs="宋体"/>
                <w:spacing w:val="-2"/>
                <w:sz w:val="21"/>
                <w:szCs w:val="21"/>
              </w:rPr>
              <w:t>本理财产品存续期间，</w:t>
            </w:r>
            <w:r>
              <w:rPr>
                <w:rFonts w:hint="eastAsia" w:ascii="楷体" w:hAnsi="楷体" w:eastAsia="楷体" w:cs="宋体"/>
                <w:spacing w:val="-2"/>
                <w:sz w:val="21"/>
                <w:szCs w:val="21"/>
                <w:lang w:val="en-US" w:eastAsia="zh-CN"/>
              </w:rPr>
              <w:t>产品成立后</w:t>
            </w:r>
            <w:r>
              <w:rPr>
                <w:rFonts w:hint="eastAsia" w:ascii="楷体" w:hAnsi="楷体" w:eastAsia="楷体" w:cs="宋体"/>
                <w:spacing w:val="-2"/>
                <w:sz w:val="21"/>
                <w:szCs w:val="21"/>
              </w:rPr>
              <w:t>每个工作日为开放日（T日），管理人仅在工作日对投资者的申购、赎回申请进行确认。管理人有权根据资产运作情况、节假日安排调整开放日，并在调整前进行公告。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开放计划</w:t>
            </w:r>
          </w:p>
        </w:tc>
        <w:tc>
          <w:tcPr>
            <w:tcW w:w="6795" w:type="dxa"/>
            <w:vAlign w:val="center"/>
          </w:tcPr>
          <w:p>
            <w:pPr>
              <w:ind w:left="115" w:leftChars="0" w:right="115" w:rightChars="55"/>
              <w:rPr>
                <w:rFonts w:ascii="楷体" w:hAnsi="楷体" w:eastAsia="楷体" w:cs="宋体"/>
                <w:spacing w:val="-2"/>
                <w:kern w:val="2"/>
                <w:sz w:val="21"/>
                <w:szCs w:val="21"/>
                <w:lang w:val="en-US" w:eastAsia="zh-CN" w:bidi="ar-SA"/>
              </w:rPr>
            </w:pPr>
            <w:r>
              <w:rPr>
                <w:rFonts w:hint="eastAsia" w:ascii="楷体" w:hAnsi="楷体" w:eastAsia="楷体" w:cs="宋体"/>
                <w:b/>
                <w:bCs/>
                <w:spacing w:val="-2"/>
                <w:szCs w:val="21"/>
                <w:u w:val="single"/>
              </w:rPr>
              <w:t>每日0</w:t>
            </w:r>
            <w:r>
              <w:rPr>
                <w:rFonts w:hint="eastAsia" w:ascii="楷体" w:hAnsi="楷体" w:eastAsia="楷体" w:cs="宋体"/>
                <w:b/>
                <w:bCs/>
                <w:spacing w:val="-2"/>
                <w:szCs w:val="21"/>
                <w:u w:val="single"/>
                <w:lang w:val="en-US" w:eastAsia="zh-CN"/>
              </w:rPr>
              <w:t>:</w:t>
            </w:r>
            <w:r>
              <w:rPr>
                <w:rFonts w:hint="eastAsia" w:ascii="楷体" w:hAnsi="楷体" w:eastAsia="楷体" w:cs="宋体"/>
                <w:b/>
                <w:bCs/>
                <w:spacing w:val="-2"/>
                <w:szCs w:val="21"/>
                <w:u w:val="single"/>
              </w:rPr>
              <w:t>00-24:00投资者均可提交申购/赎回申请</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系统清算时间除外</w:t>
            </w:r>
            <w:r>
              <w:rPr>
                <w:rFonts w:hint="eastAsia" w:ascii="楷体" w:hAnsi="楷体" w:eastAsia="楷体" w:cs="宋体"/>
                <w:b/>
                <w:bCs/>
                <w:spacing w:val="-2"/>
                <w:szCs w:val="21"/>
                <w:u w:val="single"/>
                <w:lang w:eastAsia="zh-CN"/>
              </w:rPr>
              <w:t>），</w:t>
            </w:r>
            <w:r>
              <w:rPr>
                <w:rFonts w:hint="eastAsia" w:ascii="楷体" w:hAnsi="楷体" w:eastAsia="楷体" w:cs="宋体"/>
                <w:b/>
                <w:bCs/>
                <w:spacing w:val="-2"/>
                <w:szCs w:val="21"/>
                <w:u w:val="single"/>
              </w:rPr>
              <w:t>管理人在开放日对投资者的申购/赎回申请进行确认。</w:t>
            </w:r>
            <w:r>
              <w:rPr>
                <w:rFonts w:hint="eastAsia" w:ascii="楷体" w:hAnsi="楷体" w:eastAsia="楷体" w:cs="宋体"/>
                <w:spacing w:val="-2"/>
                <w:szCs w:val="21"/>
              </w:rPr>
              <w:t>申购</w:t>
            </w:r>
            <w:r>
              <w:rPr>
                <w:rFonts w:ascii="楷体" w:hAnsi="楷体" w:eastAsia="楷体" w:cs="宋体"/>
                <w:spacing w:val="-2"/>
                <w:szCs w:val="21"/>
              </w:rPr>
              <w:t>/赎回</w:t>
            </w:r>
            <w:r>
              <w:rPr>
                <w:rFonts w:hint="eastAsia" w:ascii="楷体" w:hAnsi="楷体" w:eastAsia="楷体" w:cs="宋体"/>
                <w:spacing w:val="-2"/>
                <w:szCs w:val="21"/>
              </w:rPr>
              <w:t>确认规则详见下文“九、产品申购、赎回”。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工作日</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bCs/>
                <w:spacing w:val="-2"/>
                <w:kern w:val="2"/>
                <w:sz w:val="21"/>
                <w:szCs w:val="21"/>
                <w:highlight w:val="none"/>
                <w:u w:val="single"/>
                <w:lang w:val="en-US" w:eastAsia="zh-CN" w:bidi="ar-SA"/>
              </w:rPr>
            </w:pPr>
            <w:r>
              <w:rPr>
                <w:rFonts w:hint="eastAsia" w:ascii="楷体" w:hAnsi="楷体" w:eastAsia="楷体" w:cs="宋体"/>
                <w:b w:val="0"/>
                <w:bCs w:val="0"/>
                <w:spacing w:val="-2"/>
                <w:szCs w:val="21"/>
                <w:highlight w:val="none"/>
                <w:u w:val="none"/>
              </w:rPr>
              <w:t>指上海证券交易所和深圳证券交易所的正常开盘交易日。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产品申购</w:t>
            </w:r>
          </w:p>
        </w:tc>
        <w:tc>
          <w:tcPr>
            <w:tcW w:w="6795" w:type="dxa"/>
            <w:vAlign w:val="center"/>
          </w:tcPr>
          <w:p>
            <w:pPr>
              <w:keepNext w:val="0"/>
              <w:keepLines w:val="0"/>
              <w:pageBreakBefore w:val="0"/>
              <w:widowControl w:val="0"/>
              <w:wordWrap/>
              <w:topLinePunct w:val="0"/>
              <w:bidi w:val="0"/>
              <w:snapToGrid/>
              <w:ind w:left="42" w:leftChars="20" w:right="115" w:rightChars="55"/>
              <w:textAlignment w:val="auto"/>
              <w:rPr>
                <w:rFonts w:hint="eastAsia" w:ascii="楷体" w:hAnsi="楷体" w:eastAsia="楷体" w:cs="宋体"/>
                <w:b w:val="0"/>
                <w:bCs w:val="0"/>
                <w:spacing w:val="-2"/>
                <w:kern w:val="2"/>
                <w:sz w:val="21"/>
                <w:szCs w:val="21"/>
                <w:highlight w:val="none"/>
                <w:u w:val="none"/>
                <w:lang w:val="en-US" w:eastAsia="zh-CN" w:bidi="ar-SA"/>
              </w:rPr>
            </w:pPr>
            <w:r>
              <w:rPr>
                <w:rFonts w:hint="eastAsia" w:ascii="楷体" w:hAnsi="楷体" w:eastAsia="楷体" w:cs="宋体"/>
                <w:spacing w:val="-2"/>
                <w:kern w:val="0"/>
                <w:szCs w:val="21"/>
                <w:highlight w:val="none"/>
              </w:rPr>
              <w:t>申购时间为7*24小时，</w:t>
            </w:r>
            <w:r>
              <w:rPr>
                <w:rFonts w:hint="eastAsia" w:ascii="楷体" w:hAnsi="楷体" w:eastAsia="楷体" w:cs="宋体"/>
                <w:spacing w:val="-2"/>
                <w:sz w:val="21"/>
                <w:szCs w:val="21"/>
                <w:highlight w:val="none"/>
              </w:rPr>
              <w:t>A</w:t>
            </w:r>
            <w:r>
              <w:rPr>
                <w:rFonts w:hint="eastAsia" w:ascii="楷体" w:hAnsi="楷体" w:eastAsia="楷体" w:cs="宋体"/>
                <w:spacing w:val="-2"/>
                <w:sz w:val="21"/>
                <w:szCs w:val="21"/>
                <w:highlight w:val="none"/>
                <w:lang w:val="en-US" w:eastAsia="zh-CN"/>
              </w:rPr>
              <w:t>/JS/J/K份额工作日00:00至24:00（不含）</w:t>
            </w:r>
            <w:r>
              <w:rPr>
                <w:rFonts w:hint="eastAsia" w:ascii="楷体" w:hAnsi="楷体" w:eastAsia="楷体" w:cs="宋体"/>
                <w:spacing w:val="-2"/>
                <w:kern w:val="0"/>
                <w:szCs w:val="21"/>
                <w:highlight w:val="none"/>
              </w:rPr>
              <w:t>申购T+1确认</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其他</w:t>
            </w:r>
            <w:r>
              <w:rPr>
                <w:rFonts w:hint="eastAsia" w:ascii="楷体" w:hAnsi="楷体" w:eastAsia="楷体" w:cs="宋体"/>
                <w:spacing w:val="-2"/>
                <w:sz w:val="21"/>
                <w:szCs w:val="21"/>
                <w:highlight w:val="none"/>
              </w:rPr>
              <w:t>份额</w:t>
            </w:r>
            <w:r>
              <w:rPr>
                <w:rFonts w:hint="eastAsia" w:ascii="楷体" w:hAnsi="楷体" w:eastAsia="楷体" w:cs="宋体"/>
                <w:spacing w:val="-2"/>
                <w:kern w:val="0"/>
                <w:szCs w:val="21"/>
                <w:highlight w:val="none"/>
              </w:rPr>
              <w:t>工作日</w:t>
            </w:r>
            <w:r>
              <w:rPr>
                <w:rFonts w:hint="eastAsia" w:ascii="楷体" w:hAnsi="楷体" w:eastAsia="楷体" w:cs="宋体"/>
                <w:spacing w:val="-2"/>
                <w:sz w:val="21"/>
                <w:szCs w:val="21"/>
                <w:highlight w:val="none"/>
                <w:lang w:val="en-US" w:eastAsia="zh-CN"/>
              </w:rPr>
              <w:t>00:00至</w:t>
            </w:r>
            <w:r>
              <w:rPr>
                <w:rFonts w:hint="eastAsia" w:ascii="楷体" w:hAnsi="楷体" w:eastAsia="楷体" w:cs="宋体"/>
                <w:spacing w:val="-2"/>
                <w:kern w:val="0"/>
                <w:szCs w:val="21"/>
                <w:highlight w:val="none"/>
              </w:rPr>
              <w:t>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lang w:val="en-US" w:eastAsia="zh-CN"/>
              </w:rPr>
              <w:t>不含</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申购T+1确认，17</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00</w:t>
            </w:r>
            <w:r>
              <w:rPr>
                <w:rFonts w:hint="eastAsia" w:ascii="楷体" w:hAnsi="楷体" w:eastAsia="楷体" w:cs="宋体"/>
                <w:spacing w:val="-2"/>
                <w:sz w:val="21"/>
                <w:szCs w:val="21"/>
                <w:highlight w:val="none"/>
                <w:lang w:val="en-US" w:eastAsia="zh-CN"/>
              </w:rPr>
              <w:t>至24:00（不含）</w:t>
            </w:r>
            <w:r>
              <w:rPr>
                <w:rFonts w:hint="eastAsia" w:ascii="楷体" w:hAnsi="楷体" w:eastAsia="楷体" w:cs="宋体"/>
                <w:spacing w:val="-2"/>
                <w:kern w:val="0"/>
                <w:szCs w:val="21"/>
                <w:highlight w:val="none"/>
              </w:rPr>
              <w:t>申购为预受理，视同下一工作日申购。申购按受理日当日单位净值确认份额。</w:t>
            </w:r>
            <w:r>
              <w:rPr>
                <w:rFonts w:hint="eastAsia" w:ascii="楷体" w:hAnsi="楷体" w:eastAsia="楷体" w:cs="宋体"/>
                <w:spacing w:val="-2"/>
                <w:sz w:val="21"/>
                <w:szCs w:val="21"/>
                <w:highlight w:val="none"/>
              </w:rPr>
              <w:t>申购申请开始/截止时间以各销售机构系统设置为准</w:t>
            </w:r>
            <w:r>
              <w:rPr>
                <w:rFonts w:hint="eastAsia" w:ascii="楷体" w:hAnsi="楷体" w:eastAsia="楷体" w:cs="宋体"/>
                <w:spacing w:val="-2"/>
                <w:sz w:val="21"/>
                <w:szCs w:val="21"/>
                <w:highlight w:val="none"/>
                <w:lang w:eastAsia="zh-CN"/>
              </w:rPr>
              <w:t>。</w:t>
            </w: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r>
              <w:rPr>
                <w:rFonts w:hint="eastAsia" w:ascii="楷体" w:hAnsi="楷体" w:eastAsia="楷体" w:cs="宋体"/>
                <w:spacing w:val="-2"/>
                <w:kern w:val="0"/>
                <w:szCs w:val="21"/>
                <w:highlight w:val="none"/>
                <w:lang w:eastAsia="zh-CN"/>
              </w:rPr>
              <w:t>。（具体以销售机构设置为准）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rPr>
              <w:t>巨额申购</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ascii="楷体" w:hAnsi="楷体" w:eastAsia="楷体" w:cs="宋体"/>
                <w:bCs/>
                <w:spacing w:val="-2"/>
                <w:kern w:val="0"/>
                <w:sz w:val="24"/>
                <w:szCs w:val="21"/>
                <w:lang w:val="en-US" w:eastAsia="zh-CN" w:bidi="ar-SA"/>
              </w:rPr>
            </w:pPr>
            <w:r>
              <w:rPr>
                <w:rFonts w:hint="eastAsia" w:ascii="楷体" w:hAnsi="楷体" w:eastAsia="楷体" w:cs="宋体"/>
                <w:spacing w:val="-2"/>
                <w:sz w:val="21"/>
                <w:szCs w:val="21"/>
                <w:highlight w:val="none"/>
              </w:rPr>
              <w:t>产品单个开放日净申购申请折算产品份额超过上一日产品总份额</w:t>
            </w:r>
            <w:r>
              <w:rPr>
                <w:rFonts w:ascii="楷体" w:hAnsi="楷体" w:eastAsia="楷体" w:cs="宋体"/>
                <w:spacing w:val="-2"/>
                <w:sz w:val="21"/>
                <w:szCs w:val="21"/>
                <w:highlight w:val="none"/>
              </w:rPr>
              <w:t>20%时</w:t>
            </w:r>
            <w:r>
              <w:rPr>
                <w:rFonts w:hint="eastAsia" w:ascii="楷体" w:hAnsi="楷体" w:eastAsia="楷体" w:cs="宋体"/>
                <w:spacing w:val="-2"/>
                <w:sz w:val="21"/>
                <w:szCs w:val="21"/>
                <w:highlight w:val="none"/>
              </w:rPr>
              <w:t>，即认为发生了巨额申购。当出现巨额申购时，产品管理人有权拒绝客户的全部或部分申购申请。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leftChars="0" w:right="65" w:rightChars="31"/>
              <w:jc w:val="both"/>
              <w:rPr>
                <w:rFonts w:hint="eastAsia" w:ascii="楷体" w:hAnsi="楷体" w:eastAsia="楷体" w:cs="宋体"/>
                <w:b/>
                <w:spacing w:val="-2"/>
                <w:kern w:val="0"/>
                <w:sz w:val="21"/>
                <w:szCs w:val="21"/>
                <w:lang w:val="en-US" w:eastAsia="zh-CN" w:bidi="ar-SA"/>
              </w:rPr>
            </w:pPr>
            <w:r>
              <w:rPr>
                <w:rFonts w:hint="eastAsia" w:ascii="楷体" w:hAnsi="楷体" w:eastAsia="楷体" w:cs="宋体"/>
                <w:b/>
                <w:spacing w:val="-2"/>
                <w:sz w:val="21"/>
                <w:szCs w:val="21"/>
                <w:highlight w:val="none"/>
                <w:lang w:val="en-US" w:eastAsia="zh-CN"/>
              </w:rPr>
              <w:t>产品赎回</w:t>
            </w:r>
          </w:p>
        </w:tc>
        <w:tc>
          <w:tcPr>
            <w:tcW w:w="6795" w:type="dxa"/>
            <w:vAlign w:val="center"/>
          </w:tcPr>
          <w:p>
            <w:pPr>
              <w:pStyle w:val="36"/>
              <w:keepNext w:val="0"/>
              <w:keepLines w:val="0"/>
              <w:pageBreakBefore w:val="0"/>
              <w:widowControl w:val="0"/>
              <w:kinsoku w:val="0"/>
              <w:wordWrap/>
              <w:overflowPunct w:val="0"/>
              <w:topLinePunct w:val="0"/>
              <w:bidi w:val="0"/>
              <w:snapToGrid/>
              <w:spacing w:before="12"/>
              <w:ind w:left="42" w:leftChars="20" w:right="115" w:rightChars="55"/>
              <w:textAlignment w:val="auto"/>
              <w:rPr>
                <w:rFonts w:hint="eastAsia" w:ascii="楷体" w:hAnsi="楷体" w:eastAsia="楷体" w:cs="宋体"/>
                <w:spacing w:val="-2"/>
                <w:kern w:val="0"/>
                <w:sz w:val="21"/>
                <w:szCs w:val="21"/>
                <w:lang w:val="en-US" w:eastAsia="zh-CN" w:bidi="ar-SA"/>
              </w:rPr>
            </w:pPr>
            <w:r>
              <w:rPr>
                <w:rFonts w:hint="eastAsia" w:ascii="楷体" w:hAnsi="楷体" w:eastAsia="楷体" w:cs="宋体"/>
                <w:spacing w:val="-2"/>
                <w:sz w:val="21"/>
                <w:szCs w:val="21"/>
                <w:highlight w:val="none"/>
              </w:rPr>
              <w:t>赎回时间为7*24小时，A</w:t>
            </w:r>
            <w:r>
              <w:rPr>
                <w:rFonts w:hint="eastAsia" w:ascii="楷体" w:hAnsi="楷体" w:eastAsia="楷体" w:cs="宋体"/>
                <w:spacing w:val="-2"/>
                <w:sz w:val="21"/>
                <w:szCs w:val="21"/>
                <w:highlight w:val="none"/>
                <w:lang w:val="en-US" w:eastAsia="zh-CN"/>
              </w:rPr>
              <w:t>/JS/J/K</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T+1确认；</w:t>
            </w:r>
            <w:r>
              <w:rPr>
                <w:rFonts w:hint="eastAsia" w:ascii="楷体" w:hAnsi="楷体" w:eastAsia="楷体" w:cs="宋体"/>
                <w:spacing w:val="-2"/>
                <w:sz w:val="21"/>
                <w:szCs w:val="21"/>
                <w:highlight w:val="none"/>
                <w:lang w:val="en-US" w:eastAsia="zh-CN"/>
              </w:rPr>
              <w:t>其他</w:t>
            </w:r>
            <w:r>
              <w:rPr>
                <w:rFonts w:hint="eastAsia" w:ascii="楷体" w:hAnsi="楷体" w:eastAsia="楷体" w:cs="宋体"/>
                <w:spacing w:val="-2"/>
                <w:sz w:val="21"/>
                <w:szCs w:val="21"/>
                <w:highlight w:val="none"/>
              </w:rPr>
              <w:t>份额工作日00</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00（不含）赎回T+1确认，17</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00至24</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00（不含）赎回为预受理，视同下一工作日赎回。</w:t>
            </w:r>
            <w:r>
              <w:rPr>
                <w:rFonts w:hint="eastAsia" w:ascii="楷体" w:hAnsi="楷体" w:eastAsia="楷体" w:cs="宋体"/>
                <w:spacing w:val="-2"/>
                <w:sz w:val="21"/>
                <w:szCs w:val="21"/>
                <w:highlight w:val="none"/>
                <w:lang w:val="en-US" w:eastAsia="zh-CN"/>
              </w:rPr>
              <w:t>赎回</w:t>
            </w:r>
            <w:r>
              <w:rPr>
                <w:rFonts w:hint="eastAsia" w:ascii="楷体" w:hAnsi="楷体" w:eastAsia="楷体" w:cs="宋体"/>
                <w:spacing w:val="-2"/>
                <w:sz w:val="21"/>
                <w:szCs w:val="21"/>
                <w:highlight w:val="none"/>
              </w:rPr>
              <w:t>申请开始/截止时间以各销售机构系统设置为准</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详见下文“九、产品申购、赎回”。（具体以销售机构设置为准）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快速赎回</w:t>
            </w:r>
          </w:p>
        </w:tc>
        <w:tc>
          <w:tcPr>
            <w:tcW w:w="6795" w:type="dxa"/>
            <w:vAlign w:val="center"/>
          </w:tcPr>
          <w:p>
            <w:pPr>
              <w:ind w:left="115" w:right="115" w:rightChars="55"/>
              <w:rPr>
                <w:rFonts w:ascii="楷体" w:hAnsi="楷体" w:eastAsia="楷体" w:cs="宋体"/>
                <w:b/>
                <w:spacing w:val="-2"/>
                <w:szCs w:val="21"/>
                <w:u w:val="single"/>
              </w:rPr>
            </w:pPr>
            <w:r>
              <w:rPr>
                <w:rFonts w:hint="eastAsia" w:ascii="楷体" w:hAnsi="楷体" w:eastAsia="楷体" w:cs="宋体"/>
                <w:b/>
                <w:bCs/>
                <w:spacing w:val="-2"/>
                <w:szCs w:val="21"/>
                <w:u w:val="single"/>
              </w:rPr>
              <w:t xml:space="preserve">本产品销售机构可为投资者提供 </w:t>
            </w:r>
            <w:r>
              <w:rPr>
                <w:rFonts w:ascii="楷体" w:hAnsi="楷体" w:eastAsia="楷体" w:cs="宋体"/>
                <w:b/>
                <w:bCs/>
                <w:spacing w:val="-2"/>
                <w:szCs w:val="21"/>
                <w:u w:val="single"/>
              </w:rPr>
              <w:t>“快速赎回”增值服务，客户可通过</w:t>
            </w:r>
            <w:r>
              <w:rPr>
                <w:rFonts w:hint="eastAsia" w:ascii="楷体" w:hAnsi="楷体" w:eastAsia="楷体" w:cs="宋体"/>
                <w:b/>
                <w:bCs/>
                <w:spacing w:val="-2"/>
                <w:szCs w:val="21"/>
                <w:u w:val="single"/>
              </w:rPr>
              <w:t>销售机构</w:t>
            </w:r>
            <w:r>
              <w:rPr>
                <w:rFonts w:ascii="楷体" w:hAnsi="楷体" w:eastAsia="楷体" w:cs="宋体"/>
                <w:b/>
                <w:bCs/>
                <w:spacing w:val="-2"/>
                <w:szCs w:val="21"/>
                <w:u w:val="single"/>
              </w:rPr>
              <w:t>渠道进行快速赎回，如无特殊情况，</w:t>
            </w:r>
            <w:r>
              <w:rPr>
                <w:rFonts w:hint="eastAsia" w:ascii="楷体" w:hAnsi="楷体" w:eastAsia="楷体" w:cs="宋体"/>
                <w:b/>
                <w:bCs/>
                <w:spacing w:val="-2"/>
                <w:szCs w:val="21"/>
                <w:u w:val="single"/>
              </w:rPr>
              <w:t>快速</w:t>
            </w:r>
            <w:r>
              <w:rPr>
                <w:rFonts w:ascii="楷体" w:hAnsi="楷体" w:eastAsia="楷体" w:cs="宋体"/>
                <w:b/>
                <w:bCs/>
                <w:spacing w:val="-2"/>
                <w:szCs w:val="21"/>
                <w:u w:val="single"/>
              </w:rPr>
              <w:t>赎回资金将于赎回申请日当日到账。</w:t>
            </w:r>
            <w:r>
              <w:rPr>
                <w:rFonts w:hint="eastAsia" w:ascii="楷体" w:hAnsi="楷体" w:eastAsia="楷体" w:cs="宋体"/>
                <w:bCs/>
                <w:spacing w:val="-2"/>
                <w:szCs w:val="21"/>
              </w:rPr>
              <w:t>“快速赎回”为本理财产品的增值服务，具体业务处理原则以销售机构的快速赎回服务协议约定为准。管理人将根据快速赎回服务协议的约定，履行份额快速过户及理财份额收益划付等职责。</w:t>
            </w:r>
            <w:r>
              <w:rPr>
                <w:rFonts w:hint="eastAsia" w:ascii="楷体" w:hAnsi="楷体" w:eastAsia="楷体" w:cs="宋体"/>
                <w:b/>
                <w:bCs/>
                <w:spacing w:val="-2"/>
                <w:szCs w:val="21"/>
                <w:u w:val="single"/>
              </w:rPr>
              <w:t>每</w:t>
            </w:r>
            <w:r>
              <w:rPr>
                <w:rFonts w:hint="eastAsia" w:ascii="楷体" w:hAnsi="楷体" w:eastAsia="楷体" w:cs="宋体"/>
                <w:b/>
                <w:bCs/>
                <w:spacing w:val="-2"/>
                <w:szCs w:val="21"/>
                <w:u w:val="single"/>
                <w:lang w:val="en-US" w:eastAsia="zh-CN"/>
              </w:rPr>
              <w:t>只</w:t>
            </w:r>
            <w:r>
              <w:rPr>
                <w:rFonts w:hint="eastAsia" w:ascii="楷体" w:hAnsi="楷体" w:eastAsia="楷体" w:cs="宋体"/>
                <w:b/>
                <w:bCs/>
                <w:spacing w:val="-2"/>
                <w:szCs w:val="21"/>
                <w:u w:val="single"/>
              </w:rPr>
              <w:t>产品每个自然日</w:t>
            </w:r>
            <w:r>
              <w:rPr>
                <w:rFonts w:hint="eastAsia" w:ascii="楷体" w:hAnsi="楷体" w:eastAsia="楷体" w:cs="宋体"/>
                <w:b/>
                <w:bCs/>
                <w:spacing w:val="-2"/>
                <w:szCs w:val="21"/>
                <w:u w:val="single"/>
                <w:lang w:val="en-US" w:eastAsia="zh-CN"/>
              </w:rPr>
              <w:t>单个销售渠道</w:t>
            </w:r>
            <w:r>
              <w:rPr>
                <w:rFonts w:hint="eastAsia" w:ascii="楷体" w:hAnsi="楷体" w:eastAsia="楷体" w:cs="宋体"/>
                <w:b/>
                <w:bCs/>
                <w:spacing w:val="-2"/>
                <w:szCs w:val="21"/>
                <w:u w:val="single"/>
              </w:rPr>
              <w:t>为客户提供的</w:t>
            </w:r>
            <w:r>
              <w:rPr>
                <w:rFonts w:ascii="楷体" w:hAnsi="楷体" w:eastAsia="楷体" w:cs="宋体"/>
                <w:b/>
                <w:bCs/>
                <w:spacing w:val="-2"/>
                <w:szCs w:val="21"/>
                <w:u w:val="single"/>
              </w:rPr>
              <w:t>“快速赎回”</w:t>
            </w:r>
            <w:r>
              <w:rPr>
                <w:rFonts w:hint="eastAsia" w:ascii="楷体" w:hAnsi="楷体" w:eastAsia="楷体" w:cs="宋体"/>
                <w:b/>
                <w:bCs/>
                <w:spacing w:val="-2"/>
                <w:szCs w:val="21"/>
                <w:u w:val="single"/>
              </w:rPr>
              <w:t>限额为</w:t>
            </w:r>
            <w:r>
              <w:rPr>
                <w:rFonts w:ascii="楷体" w:hAnsi="楷体" w:eastAsia="楷体" w:cs="宋体"/>
                <w:b/>
                <w:bCs/>
                <w:spacing w:val="-2"/>
                <w:szCs w:val="21"/>
                <w:u w:val="single"/>
              </w:rPr>
              <w:t>1万元</w:t>
            </w:r>
            <w:r>
              <w:rPr>
                <w:rFonts w:hint="eastAsia" w:ascii="楷体" w:hAnsi="楷体" w:eastAsia="楷体" w:cs="宋体"/>
                <w:b/>
                <w:bCs/>
                <w:spacing w:val="-2"/>
                <w:szCs w:val="21"/>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hint="eastAsia" w:ascii="楷体" w:hAnsi="楷体" w:eastAsia="楷体" w:cs="宋体"/>
                <w:b/>
                <w:spacing w:val="-2"/>
                <w:sz w:val="21"/>
                <w:szCs w:val="21"/>
                <w:lang w:val="en-US" w:eastAsia="zh-CN"/>
              </w:rPr>
            </w:pPr>
            <w:r>
              <w:rPr>
                <w:rFonts w:hint="eastAsia" w:ascii="楷体" w:hAnsi="楷体" w:eastAsia="楷体" w:cs="宋体"/>
                <w:b/>
                <w:spacing w:val="-2"/>
                <w:sz w:val="21"/>
                <w:szCs w:val="21"/>
                <w:lang w:val="en-US" w:eastAsia="zh-CN"/>
              </w:rPr>
              <w:t>暂缓赎回</w:t>
            </w:r>
          </w:p>
        </w:tc>
        <w:tc>
          <w:tcPr>
            <w:tcW w:w="6795" w:type="dxa"/>
            <w:vAlign w:val="center"/>
          </w:tcPr>
          <w:p>
            <w:pPr>
              <w:ind w:left="115" w:right="115" w:rightChars="55"/>
              <w:rPr>
                <w:rFonts w:hint="eastAsia" w:ascii="楷体" w:hAnsi="楷体" w:eastAsia="楷体" w:cs="宋体"/>
                <w:b/>
                <w:bCs/>
                <w:spacing w:val="-2"/>
                <w:szCs w:val="21"/>
                <w:u w:val="single"/>
                <w:lang w:eastAsia="zh-CN"/>
              </w:rPr>
            </w:pPr>
            <w:r>
              <w:rPr>
                <w:rFonts w:hint="eastAsia" w:ascii="楷体" w:hAnsi="楷体" w:eastAsia="楷体" w:cs="宋体"/>
                <w:b/>
                <w:bCs/>
                <w:spacing w:val="-2"/>
                <w:szCs w:val="21"/>
                <w:u w:val="single"/>
              </w:rPr>
              <w:t>单个产品投资者在单个开放日申请赎回份额超过本理财产品总份额10%的，管理人可以采取延期办理部分赎回申请或者延缓支付赎回款项的措施</w:t>
            </w:r>
            <w:r>
              <w:rPr>
                <w:rFonts w:hint="eastAsia" w:ascii="楷体" w:hAnsi="楷体" w:eastAsia="楷体" w:cs="宋体"/>
                <w:b/>
                <w:bCs/>
                <w:spacing w:val="-2"/>
                <w:szCs w:val="21"/>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2" w:hRule="atLeast"/>
          <w:jc w:val="center"/>
        </w:trPr>
        <w:tc>
          <w:tcPr>
            <w:tcW w:w="2181" w:type="dxa"/>
            <w:vAlign w:val="center"/>
          </w:tcPr>
          <w:p>
            <w:pPr>
              <w:pStyle w:val="36"/>
              <w:kinsoku w:val="0"/>
              <w:overflowPunct w:val="0"/>
              <w:spacing w:before="18"/>
              <w:ind w:left="83" w:leftChars="0" w:right="65" w:rightChars="31"/>
              <w:jc w:val="both"/>
              <w:rPr>
                <w:rFonts w:ascii="楷体" w:hAnsi="楷体" w:eastAsia="楷体" w:cs="宋体"/>
                <w:b/>
                <w:spacing w:val="-2"/>
                <w:sz w:val="21"/>
                <w:szCs w:val="21"/>
              </w:rPr>
            </w:pPr>
            <w:r>
              <w:rPr>
                <w:rFonts w:hint="eastAsia" w:ascii="楷体" w:hAnsi="楷体" w:eastAsia="楷体" w:cs="宋体"/>
                <w:b/>
                <w:spacing w:val="-2"/>
                <w:sz w:val="21"/>
                <w:szCs w:val="21"/>
                <w:highlight w:val="none"/>
              </w:rPr>
              <w:t>巨额赎回</w:t>
            </w:r>
          </w:p>
        </w:tc>
        <w:tc>
          <w:tcPr>
            <w:tcW w:w="6795" w:type="dxa"/>
            <w:vAlign w:val="center"/>
          </w:tcPr>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当产品管理人认为兑付投资者的赎回申请可能会对产品的资产净值造成较大波动时，当日办理的赎回份额不得低于前一日终理财产品总份额的10%，对其余赎回申请管理人有权暂停接受或延期办理。若管理人对该部分赎回申请选择延期办理，则管理人有权对赎回开放日内所有投资者的赎回申请，按照单个投资者当日申请赎回份额占当日申请赎回总份额的比例，确定该份额持有人当日办理的赎回份额（示例：客户当日申请赎回份额5万份，当日全部赎回申请1亿份，假设前一日存续份额5亿份，发生巨额赎回，管理人当日办理的赎回份额5000万份，则客户当日确认办理的份额为5/10000*5000=2.5万份）。</w:t>
            </w:r>
          </w:p>
          <w:p>
            <w:pPr>
              <w:keepNext w:val="0"/>
              <w:keepLines w:val="0"/>
              <w:pageBreakBefore w:val="0"/>
              <w:widowControl w:val="0"/>
              <w:wordWrap/>
              <w:topLinePunct w:val="0"/>
              <w:bidi w:val="0"/>
              <w:snapToGrid/>
              <w:spacing w:before="12"/>
              <w:ind w:left="42" w:leftChars="20" w:right="115" w:rightChars="55"/>
              <w:textAlignment w:val="auto"/>
              <w:rPr>
                <w:rFonts w:hint="eastAsia"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3.对于该开放日内净赎回额超过本产品上一工作日日终份额10%时，管理</w:t>
            </w:r>
          </w:p>
          <w:p>
            <w:pPr>
              <w:keepNext w:val="0"/>
              <w:keepLines w:val="0"/>
              <w:pageBreakBefore w:val="0"/>
              <w:widowControl w:val="0"/>
              <w:wordWrap/>
              <w:topLinePunct w:val="0"/>
              <w:bidi w:val="0"/>
              <w:snapToGrid/>
              <w:spacing w:before="12"/>
              <w:ind w:left="42" w:leftChars="20" w:right="115" w:rightChars="55"/>
              <w:textAlignment w:val="auto"/>
              <w:rPr>
                <w:rFonts w:ascii="楷体" w:hAnsi="楷体" w:eastAsia="楷体" w:cs="宋体"/>
                <w:b/>
                <w:spacing w:val="-2"/>
                <w:szCs w:val="21"/>
                <w:u w:val="single"/>
              </w:rPr>
            </w:pPr>
            <w:r>
              <w:rPr>
                <w:rFonts w:hint="eastAsia" w:ascii="楷体" w:hAnsi="楷体" w:eastAsia="楷体" w:cs="宋体"/>
                <w:b/>
                <w:spacing w:val="-2"/>
                <w:szCs w:val="21"/>
                <w:highlight w:val="none"/>
                <w:u w:val="single"/>
              </w:rPr>
              <w:t>人有权拒绝超过10%以上部分的赎回申请。未确认受理的赎回申请份额，投资者可选择将当日未获受理部分予以撤销（巨额赎回处理方式具体以销售机构展示为准），未选择撤销的赎回申请，产品管理人可以延迟至下一开放日处理，转入下一开放日的赎回申请不享有优先确认权</w:t>
            </w:r>
            <w:r>
              <w:rPr>
                <w:rFonts w:hint="eastAsia" w:ascii="楷体" w:hAnsi="楷体" w:eastAsia="楷体" w:cs="宋体"/>
                <w:b/>
                <w:spacing w:val="-2"/>
                <w:szCs w:val="21"/>
                <w:highlight w:val="none"/>
                <w:u w:val="singl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insoku w:val="0"/>
              <w:overflowPunct w:val="0"/>
              <w:spacing w:before="18"/>
              <w:ind w:left="55" w:leftChars="0"/>
              <w:jc w:val="both"/>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连续巨额赎回</w:t>
            </w:r>
          </w:p>
        </w:tc>
        <w:tc>
          <w:tcPr>
            <w:tcW w:w="6795" w:type="dxa"/>
            <w:vAlign w:val="center"/>
          </w:tcPr>
          <w:p>
            <w:pPr>
              <w:keepNext w:val="0"/>
              <w:keepLines w:val="0"/>
              <w:pageBreakBefore w:val="0"/>
              <w:widowControl w:val="0"/>
              <w:kinsoku/>
              <w:wordWrap/>
              <w:overflowPunct/>
              <w:topLinePunct w:val="0"/>
              <w:autoSpaceDE/>
              <w:autoSpaceDN/>
              <w:bidi w:val="0"/>
              <w:adjustRightInd/>
              <w:snapToGrid/>
              <w:spacing w:before="12" w:line="240" w:lineRule="auto"/>
              <w:ind w:left="42" w:leftChars="20" w:right="115" w:rightChars="55"/>
              <w:textAlignment w:val="auto"/>
              <w:outlineLvl w:val="9"/>
              <w:rPr>
                <w:rFonts w:hint="eastAsia" w:ascii="楷体" w:hAnsi="楷体" w:eastAsia="楷体" w:cs="宋体"/>
                <w:b/>
                <w:spacing w:val="-2"/>
                <w:szCs w:val="21"/>
                <w:u w:val="single"/>
              </w:rPr>
            </w:pPr>
            <w:r>
              <w:rPr>
                <w:rFonts w:hint="eastAsia" w:ascii="楷体" w:hAnsi="楷体" w:eastAsia="楷体" w:cs="宋体"/>
                <w:spacing w:val="-2"/>
                <w:kern w:val="0"/>
                <w:sz w:val="21"/>
                <w:szCs w:val="21"/>
                <w:highlight w:val="none"/>
                <w:lang w:val="en-US" w:eastAsia="zh-CN" w:bidi="ar-SA"/>
              </w:rPr>
              <w:t>连续2个以上开放日发生巨额赎回的，对于已经接受的赎回申请，可以延缓支付赎回款项，但延缓期限不得超过20个工作日。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eepNext w:val="0"/>
              <w:keepLines w:val="0"/>
              <w:pageBreakBefore w:val="0"/>
              <w:widowControl w:val="0"/>
              <w:kinsoku w:val="0"/>
              <w:wordWrap/>
              <w:overflowPunct w:val="0"/>
              <w:topLinePunct w:val="0"/>
              <w:autoSpaceDE w:val="0"/>
              <w:autoSpaceDN w:val="0"/>
              <w:bidi w:val="0"/>
              <w:adjustRightInd w:val="0"/>
              <w:snapToGrid/>
              <w:spacing w:before="12"/>
              <w:ind w:left="85" w:leftChars="0" w:right="65" w:rightChars="31"/>
              <w:textAlignment w:val="auto"/>
              <w:rPr>
                <w:rFonts w:hint="eastAsia" w:ascii="楷体" w:hAnsi="楷体" w:eastAsia="楷体" w:cs="宋体"/>
                <w:b/>
                <w:spacing w:val="-2"/>
                <w:sz w:val="21"/>
                <w:szCs w:val="21"/>
              </w:rPr>
            </w:pPr>
            <w:r>
              <w:rPr>
                <w:rFonts w:hint="eastAsia" w:ascii="楷体" w:hAnsi="楷体" w:eastAsia="楷体" w:cs="宋体"/>
                <w:b/>
                <w:spacing w:val="-2"/>
                <w:sz w:val="21"/>
                <w:szCs w:val="21"/>
                <w:highlight w:val="none"/>
              </w:rPr>
              <w:t>赎回资金的清算</w:t>
            </w:r>
          </w:p>
        </w:tc>
        <w:tc>
          <w:tcPr>
            <w:tcW w:w="6795" w:type="dxa"/>
            <w:vAlign w:val="center"/>
          </w:tcPr>
          <w:p>
            <w:pPr>
              <w:keepNext w:val="0"/>
              <w:keepLines w:val="0"/>
              <w:pageBreakBefore w:val="0"/>
              <w:widowControl w:val="0"/>
              <w:wordWrap/>
              <w:topLinePunct w:val="0"/>
              <w:bidi w:val="0"/>
              <w:snapToGrid/>
              <w:ind w:left="42" w:leftChars="20" w:right="115" w:rightChars="55"/>
              <w:jc w:val="left"/>
              <w:textAlignment w:val="auto"/>
              <w:rPr>
                <w:rFonts w:hint="eastAsia" w:ascii="楷体" w:hAnsi="楷体" w:eastAsia="楷体" w:cs="宋体"/>
                <w:b/>
                <w:spacing w:val="-2"/>
                <w:szCs w:val="21"/>
                <w:u w:val="single"/>
              </w:rPr>
            </w:pPr>
            <w:r>
              <w:rPr>
                <w:rFonts w:hint="eastAsia" w:ascii="楷体" w:hAnsi="楷体" w:eastAsia="楷体" w:cs="宋体"/>
                <w:spacing w:val="-2"/>
                <w:szCs w:val="21"/>
                <w:highlight w:val="none"/>
              </w:rPr>
              <w:t>未触发巨额赎回条款情形下，投资者赎回资金将在赎回申请确认日后</w:t>
            </w:r>
            <w:r>
              <w:rPr>
                <w:rFonts w:ascii="楷体" w:hAnsi="楷体" w:eastAsia="楷体" w:cs="宋体"/>
                <w:spacing w:val="-2"/>
                <w:szCs w:val="21"/>
                <w:highlight w:val="none"/>
              </w:rPr>
              <w:t>4</w:t>
            </w:r>
            <w:r>
              <w:rPr>
                <w:rFonts w:hint="eastAsia" w:ascii="楷体" w:hAnsi="楷体" w:eastAsia="楷体" w:cs="宋体"/>
                <w:spacing w:val="-2"/>
                <w:szCs w:val="21"/>
                <w:highlight w:val="none"/>
              </w:rPr>
              <w:t>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8" w:hRule="atLeast"/>
          <w:jc w:val="center"/>
        </w:trPr>
        <w:tc>
          <w:tcPr>
            <w:tcW w:w="2181" w:type="dxa"/>
            <w:vAlign w:val="center"/>
          </w:tcPr>
          <w:p>
            <w:pPr>
              <w:pStyle w:val="36"/>
              <w:kinsoku w:val="0"/>
              <w:overflowPunct w:val="0"/>
              <w:spacing w:before="12"/>
              <w:ind w:left="83" w:leftChars="0" w:right="65" w:rightChars="31"/>
              <w:jc w:val="both"/>
              <w:rPr>
                <w:rFonts w:hint="eastAsia" w:ascii="楷体" w:hAnsi="楷体" w:eastAsia="楷体" w:cs="宋体"/>
                <w:b/>
                <w:spacing w:val="-2"/>
                <w:sz w:val="21"/>
                <w:szCs w:val="21"/>
              </w:rPr>
            </w:pPr>
            <w:r>
              <w:rPr>
                <w:rFonts w:hint="eastAsia" w:ascii="楷体" w:hAnsi="楷体" w:eastAsia="楷体" w:cs="宋体"/>
                <w:b/>
                <w:spacing w:val="-2"/>
                <w:sz w:val="21"/>
                <w:szCs w:val="21"/>
              </w:rPr>
              <w:t>业绩比较基准（年化）</w:t>
            </w:r>
          </w:p>
        </w:tc>
        <w:tc>
          <w:tcPr>
            <w:tcW w:w="6795" w:type="dxa"/>
            <w:vAlign w:val="center"/>
          </w:tcPr>
          <w:p>
            <w:pPr>
              <w:pStyle w:val="36"/>
              <w:spacing w:before="37" w:line="273" w:lineRule="auto"/>
              <w:ind w:left="103" w:right="103"/>
              <w:rPr>
                <w:rFonts w:ascii="楷体" w:hAnsi="楷体" w:eastAsia="楷体" w:cs="宋体"/>
                <w:spacing w:val="-2"/>
                <w:sz w:val="21"/>
                <w:szCs w:val="21"/>
              </w:rPr>
            </w:pPr>
            <w:r>
              <w:rPr>
                <w:rFonts w:hint="eastAsia" w:ascii="楷体" w:hAnsi="楷体" w:eastAsia="楷体" w:cs="宋体"/>
                <w:spacing w:val="-2"/>
                <w:sz w:val="21"/>
                <w:szCs w:val="21"/>
                <w:highlight w:val="none"/>
                <w:lang w:val="en-US" w:eastAsia="zh-CN"/>
              </w:rPr>
              <w:t>中国人民银行公布的</w:t>
            </w:r>
            <w:r>
              <w:rPr>
                <w:rFonts w:hint="eastAsia" w:ascii="楷体" w:hAnsi="楷体" w:eastAsia="楷体" w:cs="宋体"/>
                <w:spacing w:val="-2"/>
                <w:sz w:val="21"/>
                <w:szCs w:val="21"/>
                <w:highlight w:val="none"/>
              </w:rPr>
              <w:t>7天通知存款利率</w:t>
            </w:r>
            <w:r>
              <w:rPr>
                <w:rFonts w:hint="eastAsia" w:ascii="楷体" w:hAnsi="楷体" w:eastAsia="楷体" w:cs="宋体"/>
                <w:spacing w:val="-2"/>
                <w:sz w:val="21"/>
                <w:szCs w:val="21"/>
              </w:rPr>
              <w:t>（管理人</w:t>
            </w:r>
            <w:r>
              <w:rPr>
                <w:rFonts w:ascii="楷体" w:hAnsi="楷体" w:eastAsia="楷体" w:cs="宋体"/>
                <w:spacing w:val="-2"/>
                <w:sz w:val="21"/>
                <w:szCs w:val="21"/>
              </w:rPr>
              <w:t>参考过往投资经验，依据近期货币市场工具、债券等资产</w:t>
            </w:r>
            <w:r>
              <w:rPr>
                <w:rFonts w:hint="eastAsia" w:ascii="楷体" w:hAnsi="楷体" w:eastAsia="楷体" w:cs="宋体"/>
                <w:spacing w:val="-2"/>
                <w:sz w:val="21"/>
                <w:szCs w:val="21"/>
              </w:rPr>
              <w:t>投资</w:t>
            </w:r>
            <w:r>
              <w:rPr>
                <w:rFonts w:ascii="楷体" w:hAnsi="楷体" w:eastAsia="楷体" w:cs="宋体"/>
                <w:spacing w:val="-2"/>
                <w:sz w:val="21"/>
                <w:szCs w:val="21"/>
              </w:rPr>
              <w:t>收益水平，在产品说明书约定的投资范围和投资比例内模拟测算得出</w:t>
            </w:r>
            <w:r>
              <w:rPr>
                <w:rFonts w:hint="eastAsia" w:ascii="楷体" w:hAnsi="楷体" w:eastAsia="楷体" w:cs="宋体"/>
                <w:spacing w:val="-2"/>
                <w:sz w:val="21"/>
                <w:szCs w:val="21"/>
              </w:rPr>
              <w:t>）。</w:t>
            </w:r>
          </w:p>
          <w:p>
            <w:pPr>
              <w:ind w:left="115" w:leftChars="0" w:right="115" w:rightChars="55"/>
              <w:rPr>
                <w:rFonts w:hint="eastAsia" w:ascii="楷体" w:hAnsi="楷体" w:eastAsia="楷体" w:cs="宋体"/>
                <w:b/>
                <w:spacing w:val="-2"/>
                <w:szCs w:val="21"/>
                <w:u w:val="single"/>
              </w:rPr>
            </w:pPr>
            <w:r>
              <w:rPr>
                <w:rFonts w:hint="eastAsia" w:ascii="楷体" w:hAnsi="楷体" w:eastAsia="楷体" w:cs="宋体"/>
                <w:b/>
                <w:spacing w:val="-2"/>
                <w:szCs w:val="21"/>
                <w:u w:val="single"/>
              </w:rPr>
              <w:t>本产品为净值型产品，业绩表现将随市场波动，具有不确定性。业绩比较基准</w:t>
            </w:r>
            <w:r>
              <w:rPr>
                <w:rFonts w:hint="eastAsia" w:ascii="楷体" w:hAnsi="楷体" w:eastAsia="楷体" w:cs="宋体"/>
                <w:b/>
                <w:spacing w:val="-2"/>
                <w:sz w:val="21"/>
                <w:szCs w:val="21"/>
                <w:u w:val="single"/>
                <w:lang w:val="en-US" w:eastAsia="zh-CN"/>
              </w:rPr>
              <w:t>为管理人</w:t>
            </w:r>
            <w:r>
              <w:rPr>
                <w:rFonts w:hint="eastAsia" w:ascii="楷体" w:hAnsi="楷体" w:eastAsia="楷体" w:cs="宋体"/>
                <w:b/>
                <w:spacing w:val="-2"/>
                <w:sz w:val="21"/>
                <w:szCs w:val="21"/>
                <w:u w:val="single"/>
              </w:rPr>
              <w:t>对本产品所设定的投资目标</w:t>
            </w:r>
            <w:r>
              <w:rPr>
                <w:rFonts w:hint="eastAsia" w:ascii="楷体" w:hAnsi="楷体" w:eastAsia="楷体" w:cs="宋体"/>
                <w:b/>
                <w:spacing w:val="-2"/>
                <w:szCs w:val="21"/>
                <w:u w:val="single"/>
              </w:rPr>
              <w:t>，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vAlign w:val="center"/>
          </w:tcPr>
          <w:p>
            <w:pPr>
              <w:pStyle w:val="36"/>
              <w:kinsoku w:val="0"/>
              <w:overflowPunct w:val="0"/>
              <w:spacing w:before="18"/>
              <w:ind w:left="83" w:right="65" w:rightChars="31"/>
              <w:jc w:val="both"/>
              <w:rPr>
                <w:rFonts w:ascii="楷体" w:hAnsi="楷体" w:eastAsia="楷体" w:cs="宋体"/>
                <w:spacing w:val="-2"/>
                <w:sz w:val="21"/>
                <w:szCs w:val="21"/>
              </w:rPr>
            </w:pPr>
            <w:r>
              <w:rPr>
                <w:rFonts w:hint="eastAsia" w:ascii="楷体" w:hAnsi="楷体" w:eastAsia="楷体" w:cs="宋体"/>
                <w:b/>
                <w:spacing w:val="-2"/>
                <w:sz w:val="21"/>
                <w:szCs w:val="21"/>
              </w:rPr>
              <w:t>产品费用</w:t>
            </w:r>
          </w:p>
        </w:tc>
        <w:tc>
          <w:tcPr>
            <w:tcW w:w="6795" w:type="dxa"/>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本产品费用包括托管费、销售服务费、投资管理费以及产品运作和清算中产生的其他费用等。</w:t>
            </w:r>
          </w:p>
          <w:p>
            <w:pPr>
              <w:ind w:left="115" w:right="115" w:rightChars="55"/>
              <w:rPr>
                <w:rFonts w:ascii="楷体" w:hAnsi="楷体" w:eastAsia="楷体" w:cs="宋体"/>
                <w:spacing w:val="-2"/>
                <w:szCs w:val="21"/>
              </w:rPr>
            </w:pPr>
            <w:r>
              <w:rPr>
                <w:rFonts w:hint="eastAsia" w:ascii="楷体" w:hAnsi="楷体" w:eastAsia="楷体" w:cs="宋体"/>
                <w:spacing w:val="-2"/>
                <w:szCs w:val="21"/>
              </w:rPr>
              <w:t>1．托管费率：0.</w:t>
            </w:r>
            <w:r>
              <w:rPr>
                <w:rFonts w:ascii="楷体" w:hAnsi="楷体" w:eastAsia="楷体" w:cs="宋体"/>
                <w:spacing w:val="-2"/>
                <w:szCs w:val="21"/>
              </w:rPr>
              <w:t>0</w:t>
            </w:r>
            <w:r>
              <w:rPr>
                <w:rFonts w:hint="eastAsia" w:ascii="楷体" w:hAnsi="楷体" w:eastAsia="楷体" w:cs="宋体"/>
                <w:spacing w:val="-2"/>
                <w:szCs w:val="21"/>
                <w:lang w:val="en-US" w:eastAsia="zh-CN"/>
              </w:rPr>
              <w:t>2</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spacing w:val="-2"/>
                <w:szCs w:val="21"/>
              </w:rPr>
              <w:t>2．销售服务费率：</w:t>
            </w:r>
            <w:r>
              <w:rPr>
                <w:rFonts w:hint="eastAsia" w:ascii="楷体" w:hAnsi="楷体" w:eastAsia="楷体" w:cs="宋体"/>
                <w:spacing w:val="-2"/>
                <w:szCs w:val="21"/>
                <w:lang w:val="en-US" w:eastAsia="zh-CN"/>
              </w:rPr>
              <w:t>A/X/B/S/H/JS/K份额</w:t>
            </w:r>
            <w:r>
              <w:rPr>
                <w:rFonts w:hint="eastAsia" w:ascii="楷体" w:hAnsi="楷体" w:eastAsia="楷体" w:cs="宋体"/>
                <w:spacing w:val="-2"/>
                <w:szCs w:val="21"/>
              </w:rPr>
              <w:t>0.</w:t>
            </w:r>
            <w:r>
              <w:rPr>
                <w:rFonts w:ascii="楷体" w:hAnsi="楷体" w:eastAsia="楷体" w:cs="宋体"/>
                <w:spacing w:val="-2"/>
                <w:szCs w:val="21"/>
              </w:rPr>
              <w:t>20%/</w:t>
            </w:r>
            <w:r>
              <w:rPr>
                <w:rFonts w:hint="eastAsia" w:ascii="楷体" w:hAnsi="楷体" w:eastAsia="楷体" w:cs="宋体"/>
                <w:spacing w:val="-2"/>
                <w:szCs w:val="21"/>
              </w:rPr>
              <w:t>年；</w:t>
            </w:r>
            <w:r>
              <w:rPr>
                <w:rFonts w:hint="eastAsia" w:ascii="楷体" w:hAnsi="楷体" w:eastAsia="楷体" w:cs="宋体"/>
                <w:spacing w:val="-2"/>
                <w:szCs w:val="21"/>
                <w:lang w:val="en-US" w:eastAsia="zh-CN"/>
              </w:rPr>
              <w:t>J/F份额0.30%/年；W份额0.40%/年；</w:t>
            </w:r>
          </w:p>
          <w:p>
            <w:pPr>
              <w:ind w:left="115" w:right="115" w:rightChars="55"/>
              <w:rPr>
                <w:rFonts w:ascii="楷体" w:hAnsi="楷体" w:eastAsia="楷体" w:cs="宋体"/>
                <w:spacing w:val="-2"/>
                <w:szCs w:val="21"/>
              </w:rPr>
            </w:pPr>
            <w:r>
              <w:rPr>
                <w:rFonts w:hint="eastAsia" w:ascii="楷体" w:hAnsi="楷体" w:eastAsia="楷体" w:cs="宋体"/>
                <w:spacing w:val="-2"/>
                <w:szCs w:val="21"/>
              </w:rPr>
              <w:t>3．投资</w:t>
            </w:r>
            <w:r>
              <w:rPr>
                <w:rFonts w:hint="eastAsia" w:ascii="楷体" w:hAnsi="楷体" w:eastAsia="楷体" w:cs="宋体"/>
                <w:spacing w:val="-2"/>
                <w:szCs w:val="21"/>
                <w:highlight w:val="none"/>
              </w:rPr>
              <w:t>管理费</w:t>
            </w:r>
            <w:r>
              <w:rPr>
                <w:rFonts w:hint="eastAsia" w:ascii="楷体" w:hAnsi="楷体" w:eastAsia="楷体" w:cs="宋体"/>
                <w:spacing w:val="-2"/>
                <w:szCs w:val="21"/>
                <w:highlight w:val="none"/>
                <w:lang w:val="en-US" w:eastAsia="zh-CN"/>
              </w:rPr>
              <w:t>率</w:t>
            </w:r>
            <w:r>
              <w:rPr>
                <w:rFonts w:hint="eastAsia" w:ascii="楷体" w:hAnsi="楷体" w:eastAsia="楷体" w:cs="宋体"/>
                <w:spacing w:val="-2"/>
                <w:szCs w:val="21"/>
              </w:rPr>
              <w:t>：0.</w:t>
            </w:r>
            <w:r>
              <w:rPr>
                <w:rFonts w:ascii="楷体" w:hAnsi="楷体" w:eastAsia="楷体" w:cs="宋体"/>
                <w:spacing w:val="-2"/>
                <w:szCs w:val="21"/>
              </w:rPr>
              <w:t>50</w:t>
            </w:r>
            <w:r>
              <w:rPr>
                <w:rFonts w:hint="eastAsia" w:ascii="楷体" w:hAnsi="楷体" w:eastAsia="楷体" w:cs="宋体"/>
                <w:spacing w:val="-2"/>
                <w:szCs w:val="21"/>
              </w:rPr>
              <w:t>%/年；</w:t>
            </w:r>
          </w:p>
          <w:p>
            <w:pPr>
              <w:ind w:left="115" w:right="115" w:rightChars="55"/>
              <w:rPr>
                <w:rFonts w:ascii="楷体" w:hAnsi="楷体" w:eastAsia="楷体" w:cs="宋体"/>
                <w:spacing w:val="-2"/>
                <w:szCs w:val="21"/>
              </w:rPr>
            </w:pPr>
            <w:r>
              <w:rPr>
                <w:rFonts w:hint="eastAsia" w:ascii="楷体" w:hAnsi="楷体" w:eastAsia="楷体" w:cs="宋体"/>
                <w:b/>
                <w:spacing w:val="-2"/>
                <w:szCs w:val="21"/>
                <w:u w:val="single"/>
                <w:lang w:val="en-US" w:eastAsia="zh-CN"/>
              </w:rPr>
              <w:t>4</w:t>
            </w:r>
            <w:r>
              <w:rPr>
                <w:rFonts w:ascii="楷体" w:hAnsi="楷体" w:eastAsia="楷体" w:cs="宋体"/>
                <w:b/>
                <w:spacing w:val="-2"/>
                <w:szCs w:val="21"/>
                <w:u w:val="single"/>
              </w:rPr>
              <w:t>.强制赎回费</w:t>
            </w:r>
            <w:r>
              <w:rPr>
                <w:rFonts w:hint="eastAsia" w:ascii="楷体" w:hAnsi="楷体" w:eastAsia="楷体" w:cs="宋体"/>
                <w:spacing w:val="-2"/>
                <w:szCs w:val="21"/>
              </w:rPr>
              <w:t>：</w:t>
            </w:r>
          </w:p>
          <w:p>
            <w:pPr>
              <w:ind w:left="115" w:right="115" w:rightChars="55"/>
              <w:rPr>
                <w:rFonts w:ascii="楷体" w:hAnsi="楷体" w:eastAsia="楷体" w:cs="宋体"/>
                <w:spacing w:val="-2"/>
                <w:szCs w:val="21"/>
              </w:rPr>
            </w:pPr>
            <w:r>
              <w:rPr>
                <w:rFonts w:hint="eastAsia" w:ascii="楷体" w:hAnsi="楷体" w:eastAsia="楷体" w:cs="宋体"/>
                <w:spacing w:val="-2"/>
                <w:szCs w:val="21"/>
              </w:rPr>
              <w:t>（1）</w:t>
            </w:r>
            <w:r>
              <w:rPr>
                <w:rFonts w:hint="eastAsia" w:ascii="楷体" w:hAnsi="楷体" w:eastAsia="楷体" w:cs="宋体"/>
                <w:b/>
                <w:spacing w:val="-2"/>
                <w:szCs w:val="21"/>
                <w:u w:val="single"/>
              </w:rPr>
              <w:t>在满足相关流动性风险管理要求的前提下，当本产品持有的现金、国债、中央银行票据、政策性金融债券以及</w:t>
            </w:r>
            <w:r>
              <w:rPr>
                <w:rFonts w:ascii="楷体" w:hAnsi="楷体" w:eastAsia="楷体" w:cs="宋体"/>
                <w:b/>
                <w:spacing w:val="-2"/>
                <w:szCs w:val="21"/>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Cs w:val="21"/>
              </w:rPr>
              <w:t>管理人与托管人协商确认上述做法无益于本产品利益最大化的情形除外。</w:t>
            </w:r>
          </w:p>
          <w:p>
            <w:pPr>
              <w:ind w:left="115" w:right="115" w:rightChars="55"/>
              <w:rPr>
                <w:rFonts w:ascii="楷体" w:hAnsi="楷体" w:eastAsia="楷体" w:cs="宋体"/>
                <w:spacing w:val="-2"/>
                <w:szCs w:val="21"/>
              </w:rPr>
            </w:pPr>
            <w:r>
              <w:rPr>
                <w:rFonts w:hint="eastAsia" w:ascii="楷体" w:hAnsi="楷体" w:eastAsia="楷体" w:cs="宋体"/>
                <w:spacing w:val="-2"/>
                <w:szCs w:val="21"/>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Cs w:val="21"/>
                <w:u w:val="single"/>
              </w:rPr>
              <w:t>管理人有权对投资者超过本产品总份额</w:t>
            </w:r>
            <w:r>
              <w:rPr>
                <w:rFonts w:ascii="楷体" w:hAnsi="楷体" w:eastAsia="楷体" w:cs="宋体"/>
                <w:b/>
                <w:spacing w:val="-2"/>
                <w:szCs w:val="21"/>
                <w:u w:val="single"/>
              </w:rPr>
              <w:t>1%以上的赎回申请征收1%的强制赎回费用。</w:t>
            </w:r>
          </w:p>
          <w:p>
            <w:pPr>
              <w:ind w:left="115" w:right="115" w:rightChars="55"/>
              <w:rPr>
                <w:rFonts w:ascii="楷体" w:hAnsi="楷体" w:eastAsia="楷体" w:cs="宋体"/>
                <w:spacing w:val="-2"/>
                <w:szCs w:val="21"/>
              </w:rPr>
            </w:pPr>
            <w:r>
              <w:rPr>
                <w:rFonts w:hint="eastAsia" w:ascii="楷体" w:hAnsi="楷体" w:eastAsia="楷体" w:cs="宋体"/>
                <w:spacing w:val="-2"/>
                <w:szCs w:val="21"/>
              </w:rPr>
              <w:t>法律法规或监管机构另有规定的，从其规定。产品存续期内苏银理财可对</w:t>
            </w:r>
            <w:r>
              <w:rPr>
                <w:rFonts w:hint="eastAsia" w:ascii="楷体" w:hAnsi="楷体" w:eastAsia="楷体" w:cs="宋体"/>
                <w:spacing w:val="-2"/>
                <w:szCs w:val="21"/>
                <w:lang w:val="en-US" w:eastAsia="zh-CN"/>
              </w:rPr>
              <w:t>产品费用</w:t>
            </w:r>
            <w:r>
              <w:rPr>
                <w:rFonts w:hint="eastAsia" w:ascii="楷体" w:hAnsi="楷体" w:eastAsia="楷体" w:cs="宋体"/>
                <w:spacing w:val="-2"/>
                <w:szCs w:val="21"/>
                <w:highlight w:val="none"/>
                <w:lang w:val="en-US" w:eastAsia="zh-CN"/>
              </w:rPr>
              <w:t>进行调整</w:t>
            </w:r>
            <w:r>
              <w:rPr>
                <w:rFonts w:hint="eastAsia" w:ascii="楷体" w:hAnsi="楷体" w:eastAsia="楷体" w:cs="宋体"/>
                <w:spacing w:val="-2"/>
                <w:szCs w:val="21"/>
              </w:rPr>
              <w:t>，实际收取标准以管理人公告为准。详见下文“十一、产品费用”。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估值日</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本理财产品存续期内，每个工作日为估值日。管理人于估值日后第一个工作日公布理财产品份额收益率。详见下文“十二、产品估值”。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bottom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收益分配</w:t>
            </w:r>
          </w:p>
        </w:tc>
        <w:tc>
          <w:tcPr>
            <w:tcW w:w="6795" w:type="dxa"/>
            <w:tcBorders>
              <w:bottom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本理财产品根据每日收益情况，以理财计划实际收益（如有）为基准，每日为投资者计提当日理财收益，每日结转份额，投资者继续持有的红利份额可参与后续理财产品投资收益分配。</w:t>
            </w:r>
          </w:p>
          <w:p>
            <w:pPr>
              <w:ind w:left="115" w:right="115" w:rightChars="55"/>
              <w:rPr>
                <w:rFonts w:ascii="楷体" w:hAnsi="楷体" w:eastAsia="楷体" w:cs="宋体"/>
                <w:spacing w:val="-2"/>
                <w:szCs w:val="21"/>
              </w:rPr>
            </w:pPr>
            <w:r>
              <w:rPr>
                <w:rFonts w:ascii="楷体" w:hAnsi="楷体" w:eastAsia="楷体" w:cs="宋体"/>
                <w:spacing w:val="-2"/>
                <w:szCs w:val="21"/>
              </w:rPr>
              <w:t>详见下文</w:t>
            </w:r>
            <w:r>
              <w:rPr>
                <w:rFonts w:hint="eastAsia" w:ascii="楷体" w:hAnsi="楷体" w:eastAsia="楷体" w:cs="宋体"/>
                <w:spacing w:val="-2"/>
                <w:szCs w:val="21"/>
              </w:rPr>
              <w:t>“十、收益分配”。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信息披露</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管理人将按照《理财产品说明书》中约定的方式进行信息披露，详见下文“十六、信息披露”。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2181" w:type="dxa"/>
            <w:tcBorders>
              <w:top w:val="single" w:color="auto" w:sz="4" w:space="0"/>
              <w:left w:val="single" w:color="auto" w:sz="4" w:space="0"/>
              <w:bottom w:val="single" w:color="auto" w:sz="4" w:space="0"/>
              <w:right w:val="single" w:color="auto" w:sz="4" w:space="0"/>
            </w:tcBorders>
            <w:vAlign w:val="center"/>
          </w:tcPr>
          <w:p>
            <w:pPr>
              <w:pStyle w:val="36"/>
              <w:kinsoku w:val="0"/>
              <w:overflowPunct w:val="0"/>
              <w:spacing w:before="18"/>
              <w:ind w:left="83" w:right="65" w:rightChars="31"/>
              <w:jc w:val="both"/>
              <w:rPr>
                <w:rFonts w:ascii="楷体" w:hAnsi="楷体" w:eastAsia="楷体" w:cs="宋体"/>
                <w:b/>
                <w:spacing w:val="-2"/>
                <w:sz w:val="21"/>
                <w:szCs w:val="21"/>
              </w:rPr>
            </w:pPr>
            <w:r>
              <w:rPr>
                <w:rFonts w:hint="eastAsia" w:ascii="楷体" w:hAnsi="楷体" w:eastAsia="楷体" w:cs="宋体"/>
                <w:b/>
                <w:spacing w:val="-2"/>
                <w:sz w:val="21"/>
                <w:szCs w:val="21"/>
              </w:rPr>
              <w:t>税款</w:t>
            </w:r>
          </w:p>
        </w:tc>
        <w:tc>
          <w:tcPr>
            <w:tcW w:w="6795" w:type="dxa"/>
            <w:tcBorders>
              <w:top w:val="single" w:color="auto" w:sz="4" w:space="0"/>
              <w:left w:val="single" w:color="auto" w:sz="4" w:space="0"/>
              <w:bottom w:val="single" w:color="auto" w:sz="4" w:space="0"/>
              <w:right w:val="single" w:color="auto" w:sz="4" w:space="0"/>
            </w:tcBorders>
            <w:vAlign w:val="center"/>
          </w:tcPr>
          <w:p>
            <w:pPr>
              <w:ind w:left="115" w:right="115" w:rightChars="55"/>
              <w:rPr>
                <w:rFonts w:ascii="楷体" w:hAnsi="楷体" w:eastAsia="楷体" w:cs="宋体"/>
                <w:spacing w:val="-2"/>
                <w:szCs w:val="21"/>
              </w:rPr>
            </w:pPr>
            <w:r>
              <w:rPr>
                <w:rFonts w:hint="eastAsia" w:ascii="楷体" w:hAnsi="楷体" w:eastAsia="楷体" w:cs="宋体"/>
                <w:spacing w:val="-2"/>
                <w:szCs w:val="21"/>
              </w:rPr>
              <w:t>本产品运作过程中涉及的各纳税主体，其纳税义务按国家税收法律、法规执行。详见下文“十四、税收规定”。</w:t>
            </w:r>
          </w:p>
        </w:tc>
      </w:tr>
    </w:tbl>
    <w:p>
      <w:pPr>
        <w:numPr>
          <w:ilvl w:val="0"/>
          <w:numId w:val="3"/>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产品管理人</w:t>
      </w:r>
    </w:p>
    <w:p>
      <w:pPr>
        <w:ind w:firstLine="480" w:firstLineChars="200"/>
        <w:rPr>
          <w:rFonts w:ascii="楷体" w:hAnsi="楷体" w:eastAsia="楷体"/>
          <w:sz w:val="24"/>
          <w:szCs w:val="24"/>
        </w:rPr>
      </w:pPr>
      <w:r>
        <w:rPr>
          <w:rFonts w:hint="eastAsia" w:ascii="楷体" w:hAnsi="楷体" w:eastAsia="楷体"/>
          <w:sz w:val="24"/>
          <w:szCs w:val="24"/>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监管机构批准的其他业务等。</w:t>
      </w:r>
    </w:p>
    <w:p>
      <w:pPr>
        <w:ind w:firstLine="480" w:firstLineChars="200"/>
        <w:rPr>
          <w:rFonts w:ascii="楷体" w:hAnsi="楷体" w:eastAsia="楷体"/>
          <w:sz w:val="24"/>
          <w:szCs w:val="24"/>
        </w:rPr>
      </w:pPr>
      <w:r>
        <w:rPr>
          <w:rFonts w:hint="eastAsia" w:ascii="楷体" w:hAnsi="楷体" w:eastAsia="楷体"/>
          <w:sz w:val="24"/>
          <w:szCs w:val="24"/>
        </w:rPr>
        <w:t>投资</w:t>
      </w:r>
      <w:r>
        <w:rPr>
          <w:rFonts w:ascii="楷体" w:hAnsi="楷体" w:eastAsia="楷体"/>
          <w:sz w:val="24"/>
          <w:szCs w:val="24"/>
        </w:rPr>
        <w:t>者</w:t>
      </w:r>
      <w:r>
        <w:rPr>
          <w:rFonts w:hint="eastAsia" w:ascii="楷体" w:hAnsi="楷体" w:eastAsia="楷体"/>
          <w:sz w:val="24"/>
          <w:szCs w:val="24"/>
        </w:rPr>
        <w:t>在此</w:t>
      </w:r>
      <w:r>
        <w:rPr>
          <w:rFonts w:ascii="楷体" w:hAnsi="楷体" w:eastAsia="楷体"/>
          <w:sz w:val="24"/>
          <w:szCs w:val="24"/>
        </w:rPr>
        <w:t>授权并同意苏银理财享有以下权利：</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本理财产品合同</w:t>
      </w:r>
      <w:r>
        <w:rPr>
          <w:rFonts w:hint="eastAsia" w:ascii="楷体" w:hAnsi="楷体" w:eastAsia="楷体" w:cs="Calibri"/>
          <w:sz w:val="24"/>
          <w:szCs w:val="24"/>
        </w:rPr>
        <w:t>的</w:t>
      </w:r>
      <w:r>
        <w:rPr>
          <w:rFonts w:ascii="楷体" w:hAnsi="楷体" w:eastAsia="楷体" w:cs="Calibri"/>
          <w:sz w:val="24"/>
          <w:szCs w:val="24"/>
        </w:rPr>
        <w:t>约定，管理、运用和处分理财计划资金。</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按照</w:t>
      </w:r>
      <w:r>
        <w:rPr>
          <w:rFonts w:ascii="楷体" w:hAnsi="楷体" w:eastAsia="楷体" w:cs="Calibri"/>
          <w:sz w:val="24"/>
          <w:szCs w:val="24"/>
        </w:rPr>
        <w:t>本理财</w:t>
      </w:r>
      <w:r>
        <w:rPr>
          <w:rFonts w:hint="eastAsia" w:ascii="楷体" w:hAnsi="楷体" w:eastAsia="楷体" w:cs="Calibri"/>
          <w:sz w:val="24"/>
          <w:szCs w:val="24"/>
        </w:rPr>
        <w:t>产品</w:t>
      </w:r>
      <w:r>
        <w:rPr>
          <w:rFonts w:ascii="楷体" w:hAnsi="楷体" w:eastAsia="楷体" w:cs="Calibri"/>
          <w:sz w:val="24"/>
          <w:szCs w:val="24"/>
        </w:rPr>
        <w:t>合同的约定，及时、足额获得投资管理费。</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有权根据本理财产品合同的约定提前终止</w:t>
      </w:r>
      <w:r>
        <w:rPr>
          <w:rFonts w:hint="eastAsia" w:ascii="楷体" w:hAnsi="楷体" w:eastAsia="楷体" w:cs="Calibri"/>
          <w:sz w:val="24"/>
          <w:szCs w:val="24"/>
        </w:rPr>
        <w:t>或</w:t>
      </w:r>
      <w:r>
        <w:rPr>
          <w:rFonts w:ascii="楷体" w:hAnsi="楷体" w:eastAsia="楷体" w:cs="Calibri"/>
          <w:sz w:val="24"/>
          <w:szCs w:val="24"/>
        </w:rPr>
        <w:t>延长</w:t>
      </w:r>
      <w:r>
        <w:rPr>
          <w:rFonts w:hint="eastAsia" w:ascii="楷体" w:hAnsi="楷体" w:eastAsia="楷体" w:cs="Calibri"/>
          <w:sz w:val="24"/>
          <w:szCs w:val="24"/>
        </w:rPr>
        <w:t>本</w:t>
      </w:r>
      <w:r>
        <w:rPr>
          <w:rFonts w:ascii="楷体" w:hAnsi="楷体" w:eastAsia="楷体" w:cs="Calibri"/>
          <w:sz w:val="24"/>
          <w:szCs w:val="24"/>
        </w:rPr>
        <w:t>理财产品的期限。</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w:t>
      </w:r>
      <w:r>
        <w:rPr>
          <w:rFonts w:hint="eastAsia" w:ascii="楷体" w:hAnsi="楷体" w:eastAsia="楷体" w:cs="Calibri"/>
          <w:sz w:val="24"/>
          <w:szCs w:val="24"/>
        </w:rPr>
        <w:t>调整</w:t>
      </w:r>
      <w:r>
        <w:rPr>
          <w:rFonts w:ascii="楷体" w:hAnsi="楷体" w:eastAsia="楷体" w:cs="Calibri"/>
          <w:sz w:val="24"/>
          <w:szCs w:val="24"/>
        </w:rPr>
        <w:t>本</w:t>
      </w:r>
      <w:r>
        <w:rPr>
          <w:rFonts w:hint="eastAsia" w:ascii="楷体" w:hAnsi="楷体" w:eastAsia="楷体" w:cs="Calibri"/>
          <w:sz w:val="24"/>
          <w:szCs w:val="24"/>
        </w:rPr>
        <w:t>理财</w:t>
      </w:r>
      <w:r>
        <w:rPr>
          <w:rFonts w:ascii="楷体" w:hAnsi="楷体" w:eastAsia="楷体" w:cs="Calibri"/>
          <w:sz w:val="24"/>
          <w:szCs w:val="24"/>
        </w:rPr>
        <w:t>产品的认购规模</w:t>
      </w:r>
      <w:r>
        <w:rPr>
          <w:rFonts w:hint="eastAsia" w:ascii="楷体" w:hAnsi="楷体" w:eastAsia="楷体" w:cs="Calibri"/>
          <w:sz w:val="24"/>
          <w:szCs w:val="24"/>
        </w:rPr>
        <w:t>上限</w:t>
      </w:r>
      <w:r>
        <w:rPr>
          <w:rFonts w:ascii="楷体" w:hAnsi="楷体" w:eastAsia="楷体" w:cs="Calibri"/>
          <w:sz w:val="24"/>
          <w:szCs w:val="24"/>
        </w:rPr>
        <w:t>、认购起点、</w:t>
      </w:r>
      <w:r>
        <w:rPr>
          <w:rFonts w:hint="eastAsia" w:ascii="楷体" w:hAnsi="楷体" w:eastAsia="楷体" w:cs="Calibri"/>
          <w:sz w:val="24"/>
          <w:szCs w:val="24"/>
        </w:rPr>
        <w:t>认购</w:t>
      </w:r>
      <w:r>
        <w:rPr>
          <w:rFonts w:ascii="楷体" w:hAnsi="楷体" w:eastAsia="楷体" w:cs="Calibri"/>
          <w:sz w:val="24"/>
          <w:szCs w:val="24"/>
        </w:rPr>
        <w:t>金额上限、认购资金的</w:t>
      </w:r>
      <w:r>
        <w:rPr>
          <w:rFonts w:hint="eastAsia" w:ascii="楷体" w:hAnsi="楷体" w:eastAsia="楷体" w:cs="Calibri"/>
          <w:sz w:val="24"/>
          <w:szCs w:val="24"/>
          <w:lang w:eastAsia="zh-CN"/>
        </w:rPr>
        <w:t>最低金额</w:t>
      </w:r>
      <w:r>
        <w:rPr>
          <w:rFonts w:ascii="楷体" w:hAnsi="楷体" w:eastAsia="楷体" w:cs="Calibri"/>
          <w:sz w:val="24"/>
          <w:szCs w:val="24"/>
        </w:rPr>
        <w:t>等</w:t>
      </w:r>
      <w:r>
        <w:rPr>
          <w:rFonts w:hint="eastAsia" w:ascii="楷体" w:hAnsi="楷体" w:eastAsia="楷体" w:cs="Calibri"/>
          <w:sz w:val="24"/>
          <w:szCs w:val="24"/>
        </w:rPr>
        <w:t>要素</w:t>
      </w:r>
      <w:r>
        <w:rPr>
          <w:rFonts w:ascii="楷体" w:hAnsi="楷体" w:eastAsia="楷体" w:cs="Calibri"/>
          <w:sz w:val="24"/>
          <w:szCs w:val="24"/>
        </w:rPr>
        <w:t>。</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w:t>
      </w:r>
      <w:r>
        <w:rPr>
          <w:rFonts w:ascii="楷体" w:hAnsi="楷体" w:eastAsia="楷体" w:cs="Calibri"/>
          <w:sz w:val="24"/>
          <w:szCs w:val="24"/>
        </w:rPr>
        <w:t>有权依照法律规定和监管机构的要求将投资者的信息向有权部门或相关机构披露。</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理财产品投资管理人的名义，依照法律法规相关规定以及为理财产品的利益，对被投资的各类基金、公司/</w:t>
      </w:r>
      <w:r>
        <w:rPr>
          <w:rFonts w:hint="eastAsia" w:ascii="楷体" w:hAnsi="楷体" w:eastAsia="楷体" w:cs="Calibri"/>
          <w:sz w:val="24"/>
          <w:szCs w:val="24"/>
        </w:rPr>
        <w:t>企业</w:t>
      </w:r>
      <w:r>
        <w:rPr>
          <w:rFonts w:ascii="楷体" w:hAnsi="楷体" w:eastAsia="楷体" w:cs="Calibri"/>
          <w:sz w:val="24"/>
          <w:szCs w:val="24"/>
        </w:rPr>
        <w:t>等</w:t>
      </w:r>
      <w:r>
        <w:rPr>
          <w:rFonts w:hint="eastAsia" w:ascii="楷体" w:hAnsi="楷体" w:eastAsia="楷体" w:cs="Calibri"/>
          <w:sz w:val="24"/>
          <w:szCs w:val="24"/>
        </w:rPr>
        <w:t>行使</w:t>
      </w:r>
      <w:r>
        <w:rPr>
          <w:rFonts w:ascii="楷体" w:hAnsi="楷体" w:eastAsia="楷体" w:cs="Calibri"/>
          <w:sz w:val="24"/>
          <w:szCs w:val="24"/>
        </w:rPr>
        <w:t>出资人</w:t>
      </w:r>
      <w:r>
        <w:rPr>
          <w:rFonts w:hint="eastAsia" w:ascii="楷体" w:hAnsi="楷体" w:eastAsia="楷体" w:cs="Calibri"/>
          <w:sz w:val="24"/>
          <w:szCs w:val="24"/>
        </w:rPr>
        <w:t>/投资者</w:t>
      </w:r>
      <w:r>
        <w:rPr>
          <w:rFonts w:ascii="楷体" w:hAnsi="楷体" w:eastAsia="楷体" w:cs="Calibri"/>
          <w:sz w:val="24"/>
          <w:szCs w:val="24"/>
        </w:rPr>
        <w:t>权利（</w:t>
      </w:r>
      <w:r>
        <w:rPr>
          <w:rFonts w:hint="eastAsia" w:ascii="楷体" w:hAnsi="楷体" w:eastAsia="楷体" w:cs="Calibri"/>
          <w:sz w:val="24"/>
          <w:szCs w:val="24"/>
        </w:rPr>
        <w:t>包括</w:t>
      </w:r>
      <w:r>
        <w:rPr>
          <w:rFonts w:ascii="楷体" w:hAnsi="楷体" w:eastAsia="楷体" w:cs="Calibri"/>
          <w:sz w:val="24"/>
          <w:szCs w:val="24"/>
        </w:rPr>
        <w:t>但不限于表决投票的权利）</w:t>
      </w:r>
      <w:r>
        <w:rPr>
          <w:rFonts w:hint="eastAsia" w:ascii="楷体" w:hAnsi="楷体" w:eastAsia="楷体" w:cs="Calibri"/>
          <w:sz w:val="24"/>
          <w:szCs w:val="24"/>
        </w:rPr>
        <w:t>以及行使</w:t>
      </w:r>
      <w:r>
        <w:rPr>
          <w:rFonts w:ascii="楷体" w:hAnsi="楷体" w:eastAsia="楷体" w:cs="Calibri"/>
          <w:sz w:val="24"/>
          <w:szCs w:val="24"/>
        </w:rPr>
        <w:t>因理财产品投资于证券类基础资产（</w:t>
      </w:r>
      <w:r>
        <w:rPr>
          <w:rFonts w:hint="eastAsia" w:ascii="楷体" w:hAnsi="楷体" w:eastAsia="楷体" w:cs="Calibri"/>
          <w:sz w:val="24"/>
          <w:szCs w:val="24"/>
        </w:rPr>
        <w:t>含</w:t>
      </w:r>
      <w:r>
        <w:rPr>
          <w:rFonts w:ascii="楷体" w:hAnsi="楷体" w:eastAsia="楷体" w:cs="Calibri"/>
          <w:sz w:val="24"/>
          <w:szCs w:val="24"/>
        </w:rPr>
        <w:t>债券）</w:t>
      </w:r>
      <w:r>
        <w:rPr>
          <w:rFonts w:hint="eastAsia" w:ascii="楷体" w:hAnsi="楷体" w:eastAsia="楷体" w:cs="Calibri"/>
          <w:sz w:val="24"/>
          <w:szCs w:val="24"/>
        </w:rPr>
        <w:t>或</w:t>
      </w:r>
      <w:r>
        <w:rPr>
          <w:rFonts w:ascii="楷体" w:hAnsi="楷体" w:eastAsia="楷体" w:cs="Calibri"/>
          <w:sz w:val="24"/>
          <w:szCs w:val="24"/>
        </w:rPr>
        <w:t>其他基础资产（</w:t>
      </w:r>
      <w:r>
        <w:rPr>
          <w:rFonts w:hint="eastAsia" w:ascii="楷体" w:hAnsi="楷体" w:eastAsia="楷体" w:cs="Calibri"/>
          <w:sz w:val="24"/>
          <w:szCs w:val="24"/>
        </w:rPr>
        <w:t>包括</w:t>
      </w:r>
      <w:r>
        <w:rPr>
          <w:rFonts w:ascii="楷体" w:hAnsi="楷体" w:eastAsia="楷体" w:cs="Calibri"/>
          <w:sz w:val="24"/>
          <w:szCs w:val="24"/>
        </w:rPr>
        <w:t>但不限于债权类资产）</w:t>
      </w:r>
      <w:r>
        <w:rPr>
          <w:rFonts w:hint="eastAsia" w:ascii="楷体" w:hAnsi="楷体" w:eastAsia="楷体" w:cs="Calibri"/>
          <w:sz w:val="24"/>
          <w:szCs w:val="24"/>
        </w:rPr>
        <w:t>所产生</w:t>
      </w:r>
      <w:r>
        <w:rPr>
          <w:rFonts w:ascii="楷体" w:hAnsi="楷体" w:eastAsia="楷体" w:cs="Calibri"/>
          <w:sz w:val="24"/>
          <w:szCs w:val="24"/>
        </w:rPr>
        <w:t>的相关权利。</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以</w:t>
      </w:r>
      <w:r>
        <w:rPr>
          <w:rFonts w:ascii="楷体" w:hAnsi="楷体" w:eastAsia="楷体" w:cs="Calibri"/>
          <w:sz w:val="24"/>
          <w:szCs w:val="24"/>
        </w:rPr>
        <w:t>理财产品投资管理人的名义，依照</w:t>
      </w:r>
      <w:r>
        <w:rPr>
          <w:rFonts w:hint="eastAsia" w:ascii="楷体" w:hAnsi="楷体" w:eastAsia="楷体" w:cs="Calibri"/>
          <w:sz w:val="24"/>
          <w:szCs w:val="24"/>
        </w:rPr>
        <w:t>法律法规相关规定以及代表理财产品份额持有人的利益行使代为追索的权利（包括但不限于提起诉讼/仲裁、申请保全/执行的权利）或者实施其他法律行为。</w:t>
      </w:r>
    </w:p>
    <w:p>
      <w:pPr>
        <w:numPr>
          <w:ilvl w:val="0"/>
          <w:numId w:val="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法律法规、监管政策和本理财计划文件约定的其他权利。</w:t>
      </w:r>
    </w:p>
    <w:p>
      <w:pPr>
        <w:numPr>
          <w:ilvl w:val="0"/>
          <w:numId w:val="3"/>
        </w:numPr>
        <w:tabs>
          <w:tab w:val="left" w:pos="1134"/>
        </w:tabs>
        <w:ind w:firstLine="562" w:firstLineChars="200"/>
        <w:outlineLvl w:val="0"/>
        <w:rPr>
          <w:rFonts w:ascii="楷体" w:hAnsi="楷体" w:eastAsia="楷体"/>
          <w:b/>
          <w:sz w:val="28"/>
          <w:szCs w:val="28"/>
        </w:rPr>
      </w:pPr>
      <w:r>
        <w:rPr>
          <w:rFonts w:hint="eastAsia" w:ascii="楷体" w:hAnsi="楷体" w:eastAsia="楷体"/>
          <w:b/>
          <w:sz w:val="28"/>
          <w:szCs w:val="28"/>
        </w:rPr>
        <w:t>销售机构</w:t>
      </w:r>
    </w:p>
    <w:p>
      <w:pPr>
        <w:ind w:firstLine="480" w:firstLineChars="200"/>
        <w:rPr>
          <w:rFonts w:hint="eastAsia" w:ascii="楷体" w:hAnsi="楷体" w:eastAsia="楷体"/>
          <w:b w:val="0"/>
          <w:bCs w:val="0"/>
          <w:sz w:val="24"/>
          <w:szCs w:val="24"/>
          <w:highlight w:val="yellow"/>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62"/>
        <w:gridCol w:w="3473"/>
        <w:gridCol w:w="38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4317" w:type="pct"/>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A份额</w:t>
            </w:r>
          </w:p>
        </w:tc>
        <w:tc>
          <w:tcPr>
            <w:tcW w:w="2038" w:type="pct"/>
            <w:tcBorders>
              <w:top w:val="single" w:color="000000" w:sz="4" w:space="0"/>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000000" w:sz="4" w:space="0"/>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深圳前海微众银行股份有限公司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中信百信银行股份有限公司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上海农村商业银行股份有限公司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auto"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p>
        </w:tc>
        <w:tc>
          <w:tcPr>
            <w:tcW w:w="2038" w:type="pct"/>
            <w:tcBorders>
              <w:top w:val="nil"/>
              <w:left w:val="single" w:color="000000"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江苏江南农村商业银行股份有限公司</w:t>
            </w:r>
          </w:p>
        </w:tc>
        <w:tc>
          <w:tcPr>
            <w:tcW w:w="2279" w:type="pct"/>
            <w:tcBorders>
              <w:top w:val="nil"/>
              <w:left w:val="nil"/>
              <w:bottom w:val="nil"/>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auto"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W份额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浙江网商银行股份有限公司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X份额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B份额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中邮邮惠万家银行有限责任公司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嘉兴银行股份有限公司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九江银行股份有限公司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北京银行股份有限公司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H份额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kern w:val="2"/>
                <w:sz w:val="18"/>
                <w:szCs w:val="18"/>
                <w:u w:val="none"/>
                <w:lang w:val="en-US" w:eastAsia="zh-CN" w:bidi="ar-SA"/>
              </w:rPr>
              <w:t>深圳农村商业银行股份有限公司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JS份额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江苏紫金农村商业银行股份有限公司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江苏高淳农村商业银行股份有限公司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江苏宜兴农村商业银行股份有限公司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江苏淮安农村商业银行股份有限公司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江苏盱眙农村商业银行股份有限公司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江苏镇江农村商业银行股份有限公司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江苏泰兴农村商业银行股份有限公司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江苏扬州农村商业银行股份有限公司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江苏如皋农村商业银行股份有限公司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江苏仪征农村商业银行股份有限公司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u w:val="none"/>
                <w:lang w:val="en-US" w:eastAsia="zh-CN" w:bidi="ar-SA"/>
              </w:rPr>
            </w:pPr>
            <w:r>
              <w:rPr>
                <w:rFonts w:hint="eastAsia" w:ascii="楷体" w:hAnsi="楷体" w:eastAsia="楷体" w:cs="楷体"/>
                <w:i w:val="0"/>
                <w:iCs w:val="0"/>
                <w:color w:val="000000"/>
                <w:sz w:val="18"/>
                <w:szCs w:val="18"/>
                <w:u w:val="none"/>
                <w:lang w:val="en-US" w:eastAsia="zh-CN"/>
              </w:rPr>
              <w:t>江苏金湖农村商业银行股份有限公司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江苏东台农村商业银行股份有限公司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江苏句容农村商业银行股份有限公司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连云港东方农村商业银行股份有限公司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江苏启东农村商业银行股份有限公司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江苏泗洪农村商业银行股份有限公司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江苏靖江农村商业银行股份有限公司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江苏溧水农村商业银行股份有限公司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江苏江都农村商业银行股份有限公司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江苏如东农村商业银行股份有限公司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徐州农村商业银行股份有限公司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江苏涟水农村商业银行股份有限公司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江苏灌云农村商业银行股份有限公司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江苏丰县农村商业银行股份有限公司</w:t>
            </w:r>
          </w:p>
        </w:tc>
        <w:tc>
          <w:tcPr>
            <w:tcW w:w="2279" w:type="pct"/>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000000" w:sz="4" w:space="0"/>
              <w:left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兴业银行股份有限公司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交通银行股份有限公司</w:t>
            </w:r>
          </w:p>
        </w:tc>
        <w:tc>
          <w:tcPr>
            <w:tcW w:w="2279" w:type="pct"/>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F份额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北京银行股份有限公司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000000"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K份额</w:t>
            </w:r>
          </w:p>
        </w:tc>
        <w:tc>
          <w:tcPr>
            <w:tcW w:w="2038" w:type="pct"/>
            <w:tcBorders>
              <w:top w:val="single" w:color="auto" w:sz="4" w:space="0"/>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r>
              <w:rPr>
                <w:rFonts w:hint="eastAsia" w:ascii="楷体" w:hAnsi="楷体" w:eastAsia="楷体" w:cs="楷体"/>
                <w:i w:val="0"/>
                <w:iCs w:val="0"/>
                <w:color w:val="000000"/>
                <w:sz w:val="18"/>
                <w:szCs w:val="18"/>
                <w:highlight w:val="none"/>
                <w:u w:val="none"/>
                <w:lang w:val="en-US" w:eastAsia="zh-CN"/>
              </w:rPr>
              <w:t>苏银理财有限责任公司</w:t>
            </w:r>
          </w:p>
        </w:tc>
        <w:tc>
          <w:tcPr>
            <w:tcW w:w="2279" w:type="pct"/>
            <w:tcBorders>
              <w:top w:val="single" w:color="auto" w:sz="4" w:space="0"/>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2"/>
                <w:sz w:val="18"/>
                <w:szCs w:val="18"/>
                <w:highlight w:val="none"/>
                <w:u w:val="none"/>
                <w:lang w:val="en-US" w:eastAsia="zh-CN" w:bidi="ar-SA"/>
              </w:rPr>
            </w:pPr>
          </w:p>
        </w:tc>
      </w:tr>
    </w:tbl>
    <w:p>
      <w:pPr>
        <w:ind w:firstLine="562" w:firstLineChars="200"/>
        <w:outlineLvl w:val="0"/>
        <w:rPr>
          <w:rFonts w:ascii="楷体" w:hAnsi="楷体" w:eastAsia="楷体"/>
          <w:b/>
          <w:sz w:val="28"/>
          <w:szCs w:val="28"/>
        </w:rPr>
      </w:pPr>
      <w:r>
        <w:rPr>
          <w:rFonts w:hint="eastAsia" w:ascii="楷体" w:hAnsi="楷体" w:eastAsia="楷体"/>
          <w:b/>
          <w:sz w:val="28"/>
          <w:szCs w:val="28"/>
        </w:rPr>
        <w:t>四、投资合作机构</w:t>
      </w:r>
    </w:p>
    <w:p>
      <w:pPr>
        <w:numPr>
          <w:ilvl w:val="0"/>
          <w:numId w:val="0"/>
        </w:numPr>
        <w:ind w:firstLine="480" w:firstLineChars="200"/>
        <w:rPr>
          <w:rFonts w:hint="eastAsia" w:ascii="楷体" w:hAnsi="楷体" w:eastAsia="楷体"/>
          <w:b/>
          <w:sz w:val="28"/>
          <w:szCs w:val="28"/>
        </w:rPr>
      </w:pPr>
      <w:r>
        <w:rPr>
          <w:rFonts w:hint="eastAsia" w:ascii="楷体" w:hAnsi="楷体" w:eastAsia="楷体"/>
          <w:color w:val="auto"/>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2883"/>
        <w:gridCol w:w="4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default"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投资合作机构</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sz w:val="20"/>
                <w:szCs w:val="20"/>
                <w:vertAlign w:val="baseline"/>
                <w:lang w:val="en-US" w:eastAsia="zh-CN"/>
              </w:rPr>
            </w:pPr>
            <w:r>
              <w:rPr>
                <w:rFonts w:hint="eastAsia" w:ascii="楷体" w:hAnsi="楷体" w:eastAsia="楷体"/>
                <w:b/>
                <w:bCs/>
                <w:sz w:val="20"/>
                <w:szCs w:val="20"/>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1</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英大保险资产管理有限公司，简称“英大资产”，公司2022年年末资产管理总规模1,447亿元，位居保险资管行业前20。英大资产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2</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中国人保资产管理有限公司成立于2003年7月16日，是经国务院同意、原中国保监会批准设立的境内第一家保险资产管理公司，由中国人民保险集团股份有限公司发起。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3</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太平洋资产管理有限责任公司（以下简称“太保资产”）于2006年6月经中国保监会批准成立，由中国太平洋保险（集团）股份有限公司控股，注册资本21亿元。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4</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大家资产管理有限责任公司，简称“大家资产”，公司2022年年末资产管理总规模10,337亿元，位居保险资管行业前10。大家资产是大家保险集团旗下专业资产管理公司。公司于2011年5月经原中国保险监督管理委员会批准正式设立，注册资本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val="0"/>
                <w:bCs w:val="0"/>
                <w:sz w:val="20"/>
                <w:szCs w:val="20"/>
                <w:vertAlign w:val="baseline"/>
                <w:lang w:val="en-US" w:eastAsia="zh-CN"/>
              </w:rPr>
            </w:pPr>
            <w:r>
              <w:rPr>
                <w:rFonts w:hint="eastAsia" w:ascii="楷体" w:hAnsi="楷体" w:eastAsia="楷体"/>
                <w:b w:val="0"/>
                <w:bCs w:val="0"/>
                <w:sz w:val="20"/>
                <w:szCs w:val="20"/>
                <w:vertAlign w:val="baseline"/>
                <w:lang w:val="en-US" w:eastAsia="zh-CN"/>
              </w:rPr>
              <w:t>5</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sz w:val="20"/>
                <w:szCs w:val="20"/>
                <w:lang w:val="en-US" w:eastAsia="zh-CN"/>
              </w:rPr>
            </w:pPr>
            <w:r>
              <w:rPr>
                <w:rFonts w:hint="eastAsia" w:ascii="楷体" w:hAnsi="楷体" w:eastAsia="楷体" w:cs="Times New Roman"/>
                <w:b w:val="0"/>
                <w:bCs w:val="0"/>
                <w:sz w:val="20"/>
                <w:szCs w:val="20"/>
                <w:lang w:val="en-US" w:eastAsia="zh-CN"/>
              </w:rPr>
              <w:t>创金合信基金管理有限公司，2014年7月成立于中国深圳，股东由第一创业证券股份有限公司以及经营管理层和核心员工持股的投资合伙企业构成，是第一家成立时即实现员工持股的基金公司，截至目前注册资本2.33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6</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 xml:space="preserve">平安资产管理有限责任公司 </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lang w:val="en-US" w:eastAsia="zh-CN" w:bidi="ar-SA"/>
              </w:rPr>
            </w:pPr>
            <w:r>
              <w:rPr>
                <w:rFonts w:hint="eastAsia" w:ascii="楷体" w:hAnsi="楷体" w:eastAsia="楷体" w:cs="Times New Roman"/>
                <w:b w:val="0"/>
                <w:bCs w:val="0"/>
                <w:sz w:val="20"/>
                <w:szCs w:val="20"/>
                <w:lang w:val="en-US" w:eastAsia="zh-CN"/>
              </w:rPr>
              <w:t>平安资产管理有限责任公司，简称“平安资管”，公司2022年年末资产管理总规模43,711.72亿元，位居保险资管行业前3。平安资产管理有限责任公司系中国平安保险（集团）股份有限公司旗下子公司，2005年5月27日成立，是经由原中国保险监督管理委员会批复最早成立的保险资产管理公司之一，注册资本人民币15亿元，注册地为上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7</w:t>
            </w:r>
          </w:p>
        </w:tc>
        <w:tc>
          <w:tcPr>
            <w:tcW w:w="1691"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w:t>
            </w:r>
          </w:p>
        </w:tc>
        <w:tc>
          <w:tcPr>
            <w:tcW w:w="2919"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eastAsia" w:ascii="楷体" w:hAnsi="楷体" w:eastAsia="楷体" w:cs="Times New Roman"/>
                <w:b w:val="0"/>
                <w:bCs w:val="0"/>
                <w:kern w:val="2"/>
                <w:sz w:val="20"/>
                <w:szCs w:val="20"/>
                <w:highlight w:val="none"/>
                <w:vertAlign w:val="baseline"/>
                <w:lang w:val="en-US" w:eastAsia="zh-CN" w:bidi="ar-SA"/>
              </w:rPr>
            </w:pPr>
            <w:r>
              <w:rPr>
                <w:rFonts w:hint="eastAsia" w:ascii="楷体" w:hAnsi="楷体" w:eastAsia="楷体" w:cs="Times New Roman"/>
                <w:b w:val="0"/>
                <w:bCs w:val="0"/>
                <w:sz w:val="20"/>
                <w:szCs w:val="20"/>
                <w:highlight w:val="none"/>
                <w:lang w:val="en-US" w:eastAsia="zh-CN"/>
              </w:rPr>
              <w:t>招商证券资产管理有限公司，简称“招商资管”，经中国证券监督管理委员会批准于2015年4月成立。招商资管是招商证券股份有限公司全资子公司，注册资本10亿元，业务范围为证券资产管理业务。招商资管作为招商证券股份有限公司100%控股的资管子公司，前身是招商证券资产管理总部，是国内最早获得受托资产管理、 创新试点、QDII资格的券商资产管理之一。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8</w:t>
            </w:r>
          </w:p>
        </w:tc>
        <w:tc>
          <w:tcPr>
            <w:tcW w:w="1691" w:type="pct"/>
            <w:noWrap w:val="0"/>
            <w:vAlign w:val="center"/>
          </w:tcPr>
          <w:p>
            <w:pPr>
              <w:spacing w:line="0" w:lineRule="atLeast"/>
              <w:jc w:val="center"/>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华润深国投信托有限公司</w:t>
            </w:r>
          </w:p>
        </w:tc>
        <w:tc>
          <w:tcPr>
            <w:tcW w:w="2919" w:type="pct"/>
            <w:noWrap w:val="0"/>
            <w:vAlign w:val="top"/>
          </w:tcPr>
          <w:p>
            <w:pPr>
              <w:spacing w:line="0" w:lineRule="atLeast"/>
              <w:rPr>
                <w:rFonts w:hint="eastAsia" w:ascii="楷体" w:hAnsi="楷体" w:eastAsia="楷体" w:cs="Times New Roman"/>
                <w:kern w:val="2"/>
                <w:sz w:val="20"/>
                <w:szCs w:val="18"/>
                <w:highlight w:val="yellow"/>
                <w:lang w:val="en-US" w:eastAsia="zh-CN" w:bidi="ar-SA"/>
              </w:rPr>
            </w:pPr>
            <w:r>
              <w:rPr>
                <w:rFonts w:hint="eastAsia" w:ascii="楷体" w:hAnsi="楷体" w:eastAsia="楷体"/>
                <w:sz w:val="20"/>
                <w:szCs w:val="18"/>
                <w:highlight w:val="none"/>
              </w:rPr>
              <w:t>华润信托于1982年8月24日成立，原名为深圳市信托投资公司，注册资本人民币 5,813 万元。目前，公司注册资本人民币110 亿元，华润金控投资有限公司持有公司 51%股权，深圳市投资控股有限公司持有公司 49%股权。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cs="Times New Roman"/>
                <w:b w:val="0"/>
                <w:bCs w:val="0"/>
                <w:kern w:val="2"/>
                <w:sz w:val="20"/>
                <w:szCs w:val="20"/>
                <w:vertAlign w:val="baseline"/>
                <w:lang w:val="en-US" w:eastAsia="zh-CN" w:bidi="ar-SA"/>
              </w:rPr>
            </w:pPr>
            <w:r>
              <w:rPr>
                <w:rFonts w:hint="eastAsia" w:ascii="楷体" w:hAnsi="楷体" w:eastAsia="楷体"/>
                <w:b w:val="0"/>
                <w:bCs w:val="0"/>
                <w:sz w:val="20"/>
                <w:szCs w:val="20"/>
                <w:vertAlign w:val="baseline"/>
                <w:lang w:val="en-US" w:eastAsia="zh-CN"/>
              </w:rPr>
              <w:t>9</w:t>
            </w:r>
          </w:p>
        </w:tc>
        <w:tc>
          <w:tcPr>
            <w:tcW w:w="1691" w:type="pct"/>
            <w:noWrap w:val="0"/>
            <w:vAlign w:val="center"/>
          </w:tcPr>
          <w:p>
            <w:pPr>
              <w:spacing w:line="0" w:lineRule="atLeast"/>
              <w:jc w:val="center"/>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w:t>
            </w:r>
          </w:p>
        </w:tc>
        <w:tc>
          <w:tcPr>
            <w:tcW w:w="2919" w:type="pct"/>
            <w:noWrap w:val="0"/>
            <w:vAlign w:val="top"/>
          </w:tcPr>
          <w:p>
            <w:pPr>
              <w:spacing w:line="0" w:lineRule="atLeast"/>
              <w:rPr>
                <w:rFonts w:hint="eastAsia" w:ascii="楷体" w:hAnsi="楷体" w:eastAsia="楷体" w:cs="Times New Roman"/>
                <w:kern w:val="2"/>
                <w:sz w:val="20"/>
                <w:szCs w:val="18"/>
                <w:highlight w:val="none"/>
                <w:lang w:val="en-US" w:eastAsia="zh-CN" w:bidi="ar-SA"/>
              </w:rPr>
            </w:pPr>
            <w:r>
              <w:rPr>
                <w:rFonts w:hint="eastAsia" w:ascii="楷体" w:hAnsi="楷体" w:eastAsia="楷体"/>
                <w:sz w:val="20"/>
                <w:szCs w:val="18"/>
                <w:highlight w:val="none"/>
              </w:rPr>
              <w:t>中粮信托有限责任公司成立于2009年7月27日，是中国银行保险监督管理委员会核准的国有控股金融机构，注册资本28.3095亿元，前三大股东分别为中粮资本投资有限公司、蒙特利尔银行、中粮财务有限责任公司。</w:t>
            </w:r>
          </w:p>
        </w:tc>
      </w:tr>
    </w:tbl>
    <w:p>
      <w:pPr>
        <w:ind w:firstLine="480" w:firstLineChars="200"/>
        <w:rPr>
          <w:rFonts w:ascii="楷体" w:hAnsi="楷体" w:eastAsia="楷体"/>
          <w:sz w:val="24"/>
          <w:szCs w:val="24"/>
        </w:rPr>
      </w:pPr>
      <w:r>
        <w:rPr>
          <w:rFonts w:hint="eastAsia" w:ascii="楷体" w:hAnsi="楷体" w:eastAsia="楷体"/>
          <w:sz w:val="24"/>
          <w:szCs w:val="24"/>
        </w:rPr>
        <w:t>产品存续期内合作机构如有</w:t>
      </w:r>
      <w:r>
        <w:rPr>
          <w:rFonts w:hint="eastAsia" w:ascii="楷体" w:hAnsi="楷体" w:eastAsia="楷体"/>
          <w:sz w:val="24"/>
          <w:szCs w:val="24"/>
          <w:highlight w:val="none"/>
        </w:rPr>
        <w:t>变化，管理人将按照监管规定和内部管理制度要求对合作机构进行准入，签署相关协议后，发布新增投资合作机构公告。</w:t>
      </w:r>
    </w:p>
    <w:p>
      <w:pPr>
        <w:numPr>
          <w:ilvl w:val="255"/>
          <w:numId w:val="0"/>
        </w:num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五、名词释义</w:t>
      </w:r>
    </w:p>
    <w:p>
      <w:pPr>
        <w:ind w:firstLine="480" w:firstLineChars="200"/>
        <w:rPr>
          <w:rFonts w:ascii="楷体" w:hAnsi="楷体" w:eastAsia="楷体"/>
          <w:sz w:val="24"/>
          <w:szCs w:val="24"/>
        </w:rPr>
      </w:pPr>
      <w:r>
        <w:rPr>
          <w:rFonts w:hint="eastAsia" w:ascii="楷体" w:hAnsi="楷体" w:eastAsia="楷体"/>
          <w:sz w:val="24"/>
          <w:szCs w:val="24"/>
        </w:rPr>
        <w:t>在本理财产品说明书中，除非上下文另有明确约定，下列用词将具有如下含义：</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参与主体用语</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★管理人/产品管理人/理财产品管理人：指苏银理财有限责任公司（本文简称“苏银理财”）。</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托管人/产品托管人：指江苏银行股份有限公司（本文简称“江苏银行”）。江苏银行具备理财产品托管资格。托管人负责履行安全保管理财产品资金及其所投资的资产，办理清算、交割事宜，与管理人对账，监督理财产品投资运作等职责。</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★代销机构/销售机构：指符合《关于规范金融机构资产管理业务的指导意见》、《商业银行理财业务监督管理办法》、《商业银行理财子公司管理办法》、《理财公司理财产品销售管理暂行办法》和</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投资者：指符合相关法律法规、监管规定要求的，可以购买理财产品份额的自然人和法人。</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理财产品用语</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本产品：指“苏银理财</w:t>
      </w:r>
      <w:r>
        <w:rPr>
          <w:rFonts w:hint="eastAsia" w:ascii="楷体" w:hAnsi="楷体" w:eastAsia="楷体" w:cs="Calibri"/>
          <w:sz w:val="24"/>
          <w:szCs w:val="24"/>
          <w:highlight w:val="none"/>
          <w:lang w:eastAsia="zh-CN"/>
        </w:rPr>
        <w:t>启源现金</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lang w:eastAsia="zh-CN"/>
        </w:rPr>
        <w:t>号</w:t>
      </w:r>
      <w:r>
        <w:rPr>
          <w:rFonts w:hint="eastAsia" w:ascii="楷体" w:hAnsi="楷体" w:eastAsia="楷体" w:cs="Calibri"/>
          <w:sz w:val="24"/>
          <w:szCs w:val="24"/>
          <w:highlight w:val="none"/>
        </w:rPr>
        <w:t>”理财产品。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产品资产总值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指产品拥有的各类有价证券、银行存款、应收款项及其他资产的价值总和。</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产品负债总值</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指产品运作及融资时形成的负债价值总和，包括融资资金本息、应付各项费用（包括托管费、销售服务费、投资管理费、超额业绩报酬、其他费用等）、应付税金及其他应付款项等。</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单位净值进行理财产品申购、赎回和终止时分配。</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认购：指投资者根据理财产品说明书约定在募集期内申请购买本产品理财产品份额的行为。</w:t>
      </w:r>
    </w:p>
    <w:p>
      <w:pPr>
        <w:numPr>
          <w:ilvl w:val="0"/>
          <w:numId w:val="7"/>
        </w:numPr>
        <w:tabs>
          <w:tab w:val="left" w:pos="851"/>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7"/>
        </w:numPr>
        <w:tabs>
          <w:tab w:val="left" w:pos="851"/>
        </w:tabs>
        <w:ind w:left="0" w:firstLine="480" w:firstLineChars="200"/>
        <w:rPr>
          <w:rFonts w:ascii="楷体" w:hAnsi="楷体" w:eastAsia="楷体" w:cs="Calibri"/>
          <w:sz w:val="24"/>
          <w:szCs w:val="24"/>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r>
        <w:rPr>
          <w:rFonts w:hint="eastAsia" w:ascii="楷体" w:hAnsi="楷体" w:eastAsia="楷体" w:cs="Calibri"/>
          <w:sz w:val="24"/>
          <w:szCs w:val="24"/>
        </w:rPr>
        <w:t>。</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期间与日期</w:t>
      </w:r>
    </w:p>
    <w:p>
      <w:pPr>
        <w:numPr>
          <w:ilvl w:val="0"/>
          <w:numId w:val="8"/>
        </w:numPr>
        <w:tabs>
          <w:tab w:val="left" w:pos="728"/>
        </w:tabs>
        <w:ind w:left="0"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工作日：</w:t>
      </w:r>
      <w:r>
        <w:rPr>
          <w:rFonts w:ascii="楷体" w:hAnsi="楷体" w:eastAsia="楷体" w:cs="Calibri"/>
          <w:b/>
          <w:sz w:val="24"/>
          <w:szCs w:val="24"/>
          <w:u w:val="single"/>
        </w:rPr>
        <w:t>指上海证券交易所和深圳证券交易所的正常开盘交易日</w:t>
      </w:r>
      <w:r>
        <w:rPr>
          <w:rFonts w:hint="eastAsia" w:ascii="楷体" w:hAnsi="楷体" w:eastAsia="楷体" w:cs="Calibri"/>
          <w:b/>
          <w:sz w:val="24"/>
          <w:szCs w:val="24"/>
          <w:u w:val="single"/>
        </w:rPr>
        <w:t>。</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交易日：</w:t>
      </w:r>
      <w:r>
        <w:rPr>
          <w:rFonts w:ascii="楷体" w:hAnsi="楷体" w:eastAsia="楷体" w:cs="Calibri"/>
          <w:sz w:val="24"/>
          <w:szCs w:val="24"/>
        </w:rPr>
        <w:t>指上海证券交易所和深圳证券交易所的正常开盘交易日</w:t>
      </w:r>
      <w:r>
        <w:rPr>
          <w:rFonts w:hint="eastAsia" w:ascii="楷体" w:hAnsi="楷体" w:eastAsia="楷体" w:cs="Calibri"/>
          <w:sz w:val="24"/>
          <w:szCs w:val="24"/>
        </w:rPr>
        <w:t>。</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成立日：指本产品开始运作的日期。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份额登记日/份额确认日：指管理人对投资者提交的认购申请进行份额登记的日期。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终止日/到期日：指本产品终止的日期。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估值日：指产品管理人对理财产品项下资产进行估值的日期。</w:t>
      </w:r>
    </w:p>
    <w:p>
      <w:pPr>
        <w:numPr>
          <w:ilvl w:val="0"/>
          <w:numId w:val="8"/>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兑付日：指投资者理财资金到达投资者资金账户的日期。</w:t>
      </w:r>
    </w:p>
    <w:p>
      <w:pPr>
        <w:numPr>
          <w:ilvl w:val="0"/>
          <w:numId w:val="8"/>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8"/>
        </w:numPr>
        <w:tabs>
          <w:tab w:val="left" w:pos="728"/>
        </w:tabs>
        <w:ind w:left="0" w:firstLine="482" w:firstLineChars="200"/>
        <w:rPr>
          <w:rFonts w:ascii="楷体" w:hAnsi="楷体" w:eastAsia="楷体" w:cs="Calibri"/>
          <w:b/>
          <w:sz w:val="24"/>
          <w:szCs w:val="24"/>
          <w:highlight w:val="none"/>
          <w:u w:val="single"/>
        </w:rPr>
      </w:pPr>
      <w:r>
        <w:rPr>
          <w:rFonts w:hint="eastAsia" w:ascii="楷体" w:hAnsi="楷体" w:eastAsia="楷体" w:cs="Calibri"/>
          <w:b/>
          <w:sz w:val="24"/>
          <w:szCs w:val="24"/>
          <w:highlight w:val="none"/>
          <w:u w:val="single"/>
        </w:rPr>
        <w:t>开放日：本理财产品存续期间，每个工作日为开放日，管理人在开放日对投资者的申购、赎回申请进行确认。</w:t>
      </w:r>
    </w:p>
    <w:p>
      <w:pPr>
        <w:numPr>
          <w:ilvl w:val="0"/>
          <w:numId w:val="8"/>
        </w:numPr>
        <w:tabs>
          <w:tab w:val="left" w:pos="851"/>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产品存续期：指自理财产品成立日起，至理财产品终止日的期间</w:t>
      </w:r>
      <w:r>
        <w:rPr>
          <w:rFonts w:hint="eastAsia" w:ascii="楷体" w:hAnsi="楷体" w:eastAsia="楷体" w:cs="Calibri"/>
          <w:sz w:val="24"/>
          <w:szCs w:val="24"/>
        </w:rPr>
        <w:t>。</w:t>
      </w:r>
    </w:p>
    <w:p>
      <w:pPr>
        <w:numPr>
          <w:ilvl w:val="0"/>
          <w:numId w:val="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其他</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元：指人民币元。</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9"/>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0"/>
        </w:numPr>
        <w:tabs>
          <w:tab w:val="left" w:pos="728"/>
        </w:tabs>
        <w:ind w:left="420" w:leftChars="200" w:firstLine="0" w:firstLineChars="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地震、海啸、台风、洪水、火灾、停电、严重传染病等；</w:t>
      </w:r>
    </w:p>
    <w:p>
      <w:pPr>
        <w:numPr>
          <w:ilvl w:val="0"/>
          <w:numId w:val="10"/>
        </w:numPr>
        <w:tabs>
          <w:tab w:val="left" w:pos="728"/>
        </w:tabs>
        <w:ind w:left="420" w:leftChars="200" w:firstLine="0" w:firstLineChars="0"/>
        <w:rPr>
          <w:rFonts w:hint="default" w:ascii="楷体" w:hAnsi="楷体" w:eastAsia="楷体" w:cs="Calibri"/>
          <w:sz w:val="24"/>
          <w:szCs w:val="24"/>
          <w:lang w:val="en-US" w:eastAsia="zh-CN"/>
        </w:rPr>
      </w:pPr>
      <w:r>
        <w:rPr>
          <w:rFonts w:hint="eastAsia" w:ascii="楷体" w:hAnsi="楷体" w:eastAsia="楷体" w:cs="Calibri"/>
          <w:sz w:val="24"/>
          <w:szCs w:val="24"/>
          <w:lang w:val="en-US" w:eastAsia="zh-CN"/>
        </w:rPr>
        <w:t>战争、政变、恐怖主义、骚乱、罢工等；</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（3）新的法律法规、国家政策颁布实施导致原适用的法律法规、国家政策失效；</w:t>
      </w:r>
    </w:p>
    <w:p>
      <w:pPr>
        <w:numPr>
          <w:ilvl w:val="-1"/>
          <w:numId w:val="0"/>
        </w:numPr>
        <w:tabs>
          <w:tab w:val="left" w:pos="728"/>
        </w:tabs>
        <w:ind w:left="0" w:leftChars="0" w:firstLine="408" w:firstLineChars="17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（4）因不可归咎于理财产品合同当事人的事由，金融监管机构强制要求终止该理财产品；</w:t>
      </w:r>
    </w:p>
    <w:p>
      <w:pPr>
        <w:keepNext w:val="0"/>
        <w:keepLines w:val="0"/>
        <w:pageBreakBefore w:val="0"/>
        <w:widowControl w:val="0"/>
        <w:numPr>
          <w:ilvl w:val="0"/>
          <w:numId w:val="0"/>
        </w:numPr>
        <w:tabs>
          <w:tab w:val="left" w:pos="728"/>
        </w:tabs>
        <w:kinsoku/>
        <w:wordWrap/>
        <w:overflowPunct/>
        <w:topLinePunct w:val="0"/>
        <w:autoSpaceDE/>
        <w:autoSpaceDN/>
        <w:bidi w:val="0"/>
        <w:adjustRightInd/>
        <w:snapToGrid/>
        <w:ind w:leftChars="0" w:firstLine="408" w:firstLineChars="170"/>
        <w:textAlignment w:val="auto"/>
        <w:rPr>
          <w:rFonts w:ascii="楷体" w:hAnsi="楷体" w:eastAsia="楷体" w:cs="Calibri"/>
          <w:sz w:val="24"/>
          <w:szCs w:val="24"/>
        </w:rPr>
      </w:pPr>
      <w:r>
        <w:rPr>
          <w:rFonts w:hint="eastAsia" w:ascii="楷体" w:hAnsi="楷体" w:eastAsia="楷体" w:cs="Calibri"/>
          <w:sz w:val="24"/>
          <w:szCs w:val="24"/>
          <w:lang w:val="en-US" w:eastAsia="zh-CN"/>
        </w:rPr>
        <w:t>（5）网络系统遭受攻击、电信部门技术调整或故障等原因导致的服务中断和延迟等</w:t>
      </w:r>
      <w:r>
        <w:rPr>
          <w:rFonts w:hint="eastAsia" w:ascii="楷体" w:hAnsi="楷体" w:eastAsia="楷体" w:cs="Calibri"/>
          <w:sz w:val="24"/>
          <w:szCs w:val="24"/>
        </w:rPr>
        <w:t>。</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六、风险评级</w:t>
      </w:r>
    </w:p>
    <w:p>
      <w:pPr>
        <w:ind w:firstLine="480" w:firstLineChars="200"/>
        <w:rPr>
          <w:rFonts w:ascii="楷体" w:hAnsi="楷体" w:eastAsia="楷体"/>
          <w:sz w:val="24"/>
          <w:szCs w:val="24"/>
        </w:rPr>
      </w:pPr>
      <w:r>
        <w:rPr>
          <w:rFonts w:hint="eastAsia" w:ascii="楷体" w:hAnsi="楷体" w:eastAsia="楷体"/>
          <w:sz w:val="24"/>
          <w:szCs w:val="24"/>
        </w:rPr>
        <w:t>本理财产品经苏银理财内部风险评级为</w:t>
      </w:r>
      <w:r>
        <w:rPr>
          <w:rFonts w:hint="eastAsia" w:ascii="楷体" w:hAnsi="楷体" w:eastAsia="楷体"/>
          <w:b/>
          <w:sz w:val="24"/>
          <w:szCs w:val="24"/>
          <w:u w:val="single"/>
        </w:rPr>
        <w:t>★一级，适合低风险型投资者，适合投资策略为风险控制</w:t>
      </w:r>
      <w:r>
        <w:rPr>
          <w:rFonts w:hint="eastAsia" w:ascii="楷体" w:hAnsi="楷体" w:eastAsia="楷体"/>
          <w:b/>
          <w:sz w:val="24"/>
          <w:szCs w:val="24"/>
          <w:u w:val="single"/>
          <w:lang w:val="en-US" w:eastAsia="zh-CN"/>
        </w:rPr>
        <w:t>的投资者</w:t>
      </w:r>
      <w:r>
        <w:rPr>
          <w:rFonts w:hint="eastAsia" w:ascii="楷体" w:hAnsi="楷体" w:eastAsia="楷体"/>
          <w:sz w:val="24"/>
          <w:szCs w:val="24"/>
        </w:rPr>
        <w:t>。本评级为苏银理财有限责任公司内部评级，由苏银理财根据理财产品的投资组合、同类产品过往业绩和风险状况等因素，对理财产品进行评级，仅供客户参考。</w:t>
      </w:r>
    </w:p>
    <w:p>
      <w:pPr>
        <w:ind w:firstLine="480" w:firstLineChars="200"/>
        <w:rPr>
          <w:rFonts w:ascii="楷体" w:hAnsi="楷体" w:eastAsia="楷体"/>
          <w:sz w:val="24"/>
          <w:szCs w:val="24"/>
        </w:rPr>
      </w:pPr>
      <w:r>
        <w:rPr>
          <w:rFonts w:hint="eastAsia" w:ascii="楷体" w:hAnsi="楷体" w:eastAsia="楷体"/>
          <w:sz w:val="24"/>
          <w:szCs w:val="24"/>
          <w:highlight w:val="none"/>
        </w:rPr>
        <w:t>如本产品通过代理销售机构渠道销售</w:t>
      </w:r>
      <w:r>
        <w:rPr>
          <w:rFonts w:hint="eastAsia" w:ascii="楷体" w:hAnsi="楷体" w:eastAsia="楷体"/>
          <w:sz w:val="24"/>
          <w:szCs w:val="24"/>
          <w:highlight w:val="none"/>
          <w:lang w:eastAsia="zh-CN"/>
        </w:rPr>
        <w:t>，</w:t>
      </w:r>
      <w:r>
        <w:rPr>
          <w:rFonts w:hint="eastAsia" w:ascii="楷体" w:hAnsi="楷体" w:eastAsia="楷体"/>
          <w:sz w:val="24"/>
          <w:szCs w:val="24"/>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u w:val="single"/>
        </w:rPr>
      </w:pPr>
      <w:r>
        <w:rPr>
          <w:rFonts w:hint="eastAsia" w:ascii="楷体" w:hAnsi="楷体" w:eastAsia="楷体"/>
          <w:b/>
          <w:bCs/>
          <w:sz w:val="24"/>
          <w:szCs w:val="24"/>
          <w:highlight w:val="none"/>
          <w:u w:val="single"/>
        </w:rPr>
        <w:t>如本产品通过代理销售机构渠道销售</w:t>
      </w:r>
      <w:r>
        <w:rPr>
          <w:rFonts w:hint="eastAsia" w:ascii="楷体" w:hAnsi="楷体" w:eastAsia="楷体"/>
          <w:b/>
          <w:sz w:val="24"/>
          <w:szCs w:val="24"/>
          <w:highlight w:val="none"/>
          <w:u w:val="single"/>
        </w:rPr>
        <w:t>，</w:t>
      </w:r>
      <w:r>
        <w:rPr>
          <w:rFonts w:hint="eastAsia" w:ascii="楷体" w:hAnsi="楷体" w:eastAsia="楷体"/>
          <w:b/>
          <w:sz w:val="24"/>
          <w:szCs w:val="24"/>
          <w:u w:val="single"/>
        </w:rPr>
        <w:t>理财产品评级以代理销售机构最终披露的评级结果为准。</w:t>
      </w:r>
    </w:p>
    <w:p>
      <w:pPr>
        <w:ind w:firstLine="480" w:firstLineChars="200"/>
        <w:rPr>
          <w:rFonts w:ascii="楷体" w:hAnsi="楷体" w:eastAsia="楷体"/>
          <w:b/>
          <w:sz w:val="24"/>
          <w:szCs w:val="24"/>
          <w:u w:val="single"/>
        </w:rPr>
      </w:pPr>
      <w:r>
        <w:rPr>
          <w:rFonts w:hint="eastAsia" w:ascii="楷体" w:hAnsi="楷体" w:eastAsia="楷体"/>
          <w:sz w:val="24"/>
          <w:szCs w:val="24"/>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风险星级</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风险级别</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适合的投资者类别</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vAlign w:val="bottom"/>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w:t>
            </w:r>
          </w:p>
        </w:tc>
        <w:tc>
          <w:tcPr>
            <w:tcW w:w="1842"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一级（PR1）</w:t>
            </w:r>
          </w:p>
        </w:tc>
        <w:tc>
          <w:tcPr>
            <w:tcW w:w="2268"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低风险</w:t>
            </w:r>
            <w:r>
              <w:rPr>
                <w:rFonts w:hint="eastAsia" w:ascii="楷体" w:hAnsi="楷体" w:eastAsia="楷体" w:cs="浠垮畫"/>
                <w:b/>
                <w:bCs/>
                <w:kern w:val="0"/>
                <w:sz w:val="24"/>
                <w:szCs w:val="24"/>
                <w:lang w:val="en-US" w:eastAsia="zh-CN"/>
              </w:rPr>
              <w:t>型</w:t>
            </w:r>
          </w:p>
        </w:tc>
        <w:tc>
          <w:tcPr>
            <w:tcW w:w="2084" w:type="dxa"/>
            <w:tcBorders>
              <w:bottom w:val="single" w:color="auto" w:sz="4" w:space="0"/>
            </w:tcBorders>
            <w:vAlign w:val="center"/>
          </w:tcPr>
          <w:p>
            <w:pPr>
              <w:autoSpaceDE w:val="0"/>
              <w:autoSpaceDN w:val="0"/>
              <w:adjustRightInd w:val="0"/>
              <w:jc w:val="center"/>
              <w:rPr>
                <w:rFonts w:ascii="楷体" w:hAnsi="楷体" w:eastAsia="楷体" w:cs="浠垮畫"/>
                <w:b/>
                <w:bCs/>
                <w:kern w:val="0"/>
                <w:sz w:val="24"/>
                <w:szCs w:val="24"/>
              </w:rPr>
            </w:pPr>
            <w:r>
              <w:rPr>
                <w:rFonts w:hint="eastAsia" w:ascii="楷体" w:hAnsi="楷体" w:eastAsia="楷体" w:cs="浠垮畫"/>
                <w:b/>
                <w:bCs/>
                <w:kern w:val="0"/>
                <w:sz w:val="24"/>
                <w:szCs w:val="24"/>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二级（PR2）</w:t>
            </w:r>
          </w:p>
        </w:tc>
        <w:tc>
          <w:tcPr>
            <w:tcW w:w="2268"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中低风险型</w:t>
            </w:r>
          </w:p>
        </w:tc>
        <w:tc>
          <w:tcPr>
            <w:tcW w:w="2084" w:type="dxa"/>
            <w:shd w:val="clear" w:color="auto"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vAlign w:val="bottom"/>
          </w:tcPr>
          <w:p>
            <w:pPr>
              <w:autoSpaceDE w:val="0"/>
              <w:autoSpaceDN w:val="0"/>
              <w:adjustRightInd w:val="0"/>
              <w:jc w:val="center"/>
              <w:rPr>
                <w:rFonts w:ascii="楷体" w:hAnsi="楷体" w:eastAsia="楷体" w:cs="浠垮畫"/>
                <w:b/>
                <w:kern w:val="0"/>
                <w:sz w:val="24"/>
                <w:szCs w:val="24"/>
              </w:rPr>
            </w:pPr>
            <w:r>
              <w:rPr>
                <w:rFonts w:hint="eastAsia" w:ascii="楷体" w:hAnsi="楷体" w:eastAsia="楷体" w:cs="浠垮畫"/>
                <w:b/>
                <w:kern w:val="0"/>
                <w:sz w:val="24"/>
                <w:szCs w:val="24"/>
              </w:rPr>
              <w:t>★★★</w:t>
            </w:r>
          </w:p>
        </w:tc>
        <w:tc>
          <w:tcPr>
            <w:tcW w:w="1842"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三级（PR3）</w:t>
            </w:r>
          </w:p>
        </w:tc>
        <w:tc>
          <w:tcPr>
            <w:tcW w:w="2268"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中风险型</w:t>
            </w:r>
          </w:p>
        </w:tc>
        <w:tc>
          <w:tcPr>
            <w:tcW w:w="2084" w:type="dxa"/>
            <w:shd w:val="clear" w:color="FFFFFF" w:fill="FFFFFF"/>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四级（PR4）</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中高风险型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vAlign w:val="bottom"/>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w:t>
            </w:r>
          </w:p>
        </w:tc>
        <w:tc>
          <w:tcPr>
            <w:tcW w:w="1842"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五级（PR5）</w:t>
            </w:r>
          </w:p>
        </w:tc>
        <w:tc>
          <w:tcPr>
            <w:tcW w:w="2268"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高风险型</w:t>
            </w:r>
          </w:p>
        </w:tc>
        <w:tc>
          <w:tcPr>
            <w:tcW w:w="2084" w:type="dxa"/>
            <w:vAlign w:val="center"/>
          </w:tcPr>
          <w:p>
            <w:pPr>
              <w:autoSpaceDE w:val="0"/>
              <w:autoSpaceDN w:val="0"/>
              <w:adjustRightInd w:val="0"/>
              <w:jc w:val="center"/>
              <w:rPr>
                <w:rFonts w:ascii="楷体" w:hAnsi="楷体" w:eastAsia="楷体" w:cs="浠垮畫"/>
                <w:kern w:val="0"/>
                <w:sz w:val="24"/>
                <w:szCs w:val="24"/>
              </w:rPr>
            </w:pPr>
            <w:r>
              <w:rPr>
                <w:rFonts w:hint="eastAsia" w:ascii="楷体" w:hAnsi="楷体" w:eastAsia="楷体" w:cs="浠垮畫"/>
                <w:kern w:val="0"/>
                <w:sz w:val="24"/>
                <w:szCs w:val="24"/>
              </w:rPr>
              <w:t>风险承受</w:t>
            </w:r>
          </w:p>
        </w:tc>
      </w:tr>
    </w:tbl>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七、投资管理</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投资范围和比例</w:t>
      </w:r>
    </w:p>
    <w:p>
      <w:pPr>
        <w:ind w:firstLine="480" w:firstLineChars="200"/>
        <w:rPr>
          <w:rFonts w:ascii="楷体" w:hAnsi="楷体" w:eastAsia="楷体"/>
          <w:sz w:val="24"/>
          <w:szCs w:val="24"/>
        </w:rPr>
      </w:pPr>
      <w:r>
        <w:rPr>
          <w:rFonts w:hint="eastAsia" w:ascii="楷体" w:hAnsi="楷体" w:eastAsia="楷体"/>
          <w:sz w:val="24"/>
          <w:szCs w:val="24"/>
        </w:rPr>
        <w:t>本理财产品将募集资金100%投资于法律法规及银行业监督管理机构允许投资的金融工具，包括现金</w:t>
      </w:r>
      <w:r>
        <w:rPr>
          <w:rFonts w:hint="eastAsia" w:ascii="楷体" w:hAnsi="楷体" w:eastAsia="楷体"/>
          <w:sz w:val="24"/>
          <w:szCs w:val="24"/>
          <w:lang w:eastAsia="zh-CN"/>
        </w:rPr>
        <w:t>；</w:t>
      </w:r>
      <w:r>
        <w:rPr>
          <w:rFonts w:hint="eastAsia" w:ascii="楷体" w:hAnsi="楷体" w:eastAsia="楷体"/>
          <w:sz w:val="24"/>
          <w:szCs w:val="24"/>
        </w:rPr>
        <w:t>期限在一年以内（含一年）的银行存款、债券回购、中央银行票据、同业存单；剩余期限在</w:t>
      </w:r>
      <w:r>
        <w:rPr>
          <w:rFonts w:ascii="楷体" w:hAnsi="楷体" w:eastAsia="楷体"/>
          <w:sz w:val="24"/>
          <w:szCs w:val="24"/>
        </w:rPr>
        <w:t>397天以内（含397天）的债券、</w:t>
      </w:r>
      <w:r>
        <w:rPr>
          <w:rFonts w:hint="eastAsia" w:ascii="楷体" w:hAnsi="楷体" w:eastAsia="楷体"/>
          <w:sz w:val="24"/>
          <w:szCs w:val="24"/>
        </w:rPr>
        <w:t>在银行间市场和证券交易所市场发行的资产支持证券</w:t>
      </w:r>
      <w:r>
        <w:rPr>
          <w:rFonts w:hint="eastAsia" w:ascii="楷体" w:hAnsi="楷体" w:eastAsia="楷体"/>
          <w:sz w:val="24"/>
          <w:szCs w:val="24"/>
          <w:lang w:eastAsia="zh-CN"/>
        </w:rPr>
        <w:t>，</w:t>
      </w:r>
      <w:r>
        <w:rPr>
          <w:rFonts w:hint="eastAsia" w:ascii="楷体" w:hAnsi="楷体" w:eastAsia="楷体"/>
          <w:sz w:val="24"/>
          <w:szCs w:val="24"/>
        </w:rPr>
        <w:t>以及银行业监督管理机构认可的其他具有良好流动性的货币市场工具。管理人可直接或间接通过各类资管计划投资于上述资产。</w:t>
      </w:r>
    </w:p>
    <w:p>
      <w:pPr>
        <w:ind w:firstLine="480" w:firstLineChars="200"/>
        <w:rPr>
          <w:rFonts w:ascii="楷体" w:hAnsi="楷体" w:eastAsia="楷体"/>
          <w:sz w:val="24"/>
          <w:szCs w:val="24"/>
        </w:rPr>
      </w:pPr>
      <w:r>
        <w:rPr>
          <w:rFonts w:hint="eastAsia" w:ascii="楷体" w:hAnsi="楷体" w:eastAsia="楷体"/>
          <w:sz w:val="24"/>
          <w:szCs w:val="24"/>
        </w:rPr>
        <w:t>非因管理人主观因素导致突破前述比例限制的，管理人将在流动性受限资产可出售、可转让或者恢复交易的</w:t>
      </w:r>
      <w:r>
        <w:rPr>
          <w:rFonts w:ascii="楷体" w:hAnsi="楷体" w:eastAsia="楷体"/>
          <w:sz w:val="24"/>
          <w:szCs w:val="24"/>
        </w:rPr>
        <w:t>15个交易日</w:t>
      </w:r>
      <w:r>
        <w:rPr>
          <w:rFonts w:hint="eastAsia" w:ascii="楷体" w:hAnsi="楷体" w:eastAsia="楷体"/>
          <w:sz w:val="24"/>
          <w:szCs w:val="24"/>
        </w:rPr>
        <w:t>内调整至符合相关要求。相关法律法规和监管部门对以上投资范围和配置比例有另行规定的，按照监管最新规定执行。</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投资限制</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1</w:t>
      </w:r>
      <w:r>
        <w:rPr>
          <w:rFonts w:hint="eastAsia" w:ascii="楷体" w:hAnsi="楷体" w:eastAsia="楷体" w:cs="Calibri"/>
          <w:b/>
          <w:sz w:val="24"/>
          <w:szCs w:val="24"/>
          <w:u w:val="single"/>
        </w:rPr>
        <w:t>．本理财产品的投资集中度要求如下：</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（1）本理财产品投资于单只证券或单只公募证券投资基金的市值不超过本产品净资产的10%。投资于国债、地方政府债、央票、政府机构债、政策性银行债的除外。</w:t>
      </w:r>
    </w:p>
    <w:p>
      <w:pPr>
        <w:ind w:firstLine="480" w:firstLineChars="200"/>
        <w:rPr>
          <w:rFonts w:ascii="楷体" w:hAnsi="楷体" w:eastAsia="楷体" w:cs="Calibri"/>
          <w:sz w:val="24"/>
          <w:szCs w:val="24"/>
        </w:rPr>
      </w:pPr>
      <w:r>
        <w:rPr>
          <w:rFonts w:hint="eastAsia" w:ascii="楷体" w:hAnsi="楷体" w:eastAsia="楷体" w:cs="Calibri"/>
          <w:sz w:val="24"/>
          <w:szCs w:val="24"/>
        </w:rPr>
        <w:t>（2）管理人发行的全部公募理财产品投资单只证券或者单只证券投资基金的市值不得超过该证券市值或者证券投资基金市值的30%。</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（3）本理财产品投资于同一机构发行的债券及其作为原始权益人的资产支持证券的比例合计不得超过本理财产品资产净值的10%，投资于国债、中央银行票据、政策性金融债券的除外。</w:t>
      </w:r>
    </w:p>
    <w:p>
      <w:pPr>
        <w:ind w:firstLine="480" w:firstLineChars="200"/>
        <w:rPr>
          <w:rFonts w:ascii="楷体" w:hAnsi="楷体" w:eastAsia="楷体" w:cs="Calibri"/>
          <w:sz w:val="24"/>
          <w:szCs w:val="24"/>
        </w:rPr>
      </w:pPr>
      <w:r>
        <w:rPr>
          <w:rFonts w:hint="eastAsia" w:ascii="楷体" w:hAnsi="楷体" w:eastAsia="楷体" w:cs="Calibri"/>
          <w:sz w:val="24"/>
          <w:szCs w:val="24"/>
        </w:rPr>
        <w:t>（4）本理财产品投资于所有主体信用评级低于AAA的机构发行的金融工具的比例合计不得超过本理财产品资产净值的10%，其中单一机构发行的金融工具的比例合计不得超过本理财产品资产净值的2%；本款所称金融工具包括债券、银行存款、同业存单、相关机构作为原始权益人的资产支持证券及</w:t>
      </w:r>
      <w:r>
        <w:rPr>
          <w:rFonts w:hint="eastAsia" w:ascii="楷体" w:hAnsi="楷体" w:eastAsia="楷体" w:cs="Calibri"/>
          <w:sz w:val="24"/>
          <w:szCs w:val="24"/>
          <w:lang w:eastAsia="zh-CN"/>
        </w:rPr>
        <w:t>监管机构</w:t>
      </w:r>
      <w:r>
        <w:rPr>
          <w:rFonts w:hint="eastAsia" w:ascii="楷体" w:hAnsi="楷体" w:eastAsia="楷体" w:cs="Calibri"/>
          <w:sz w:val="24"/>
          <w:szCs w:val="24"/>
        </w:rPr>
        <w:t>认可的其他金融工具。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5）本理财产品投资于有固定期限银行存款的比例合计不得超过本理财产品资产净值的30%，投资于有存款期限，根据协议可提前支取的银行存款除外；本理财产品投资于主体信用评级为AAA的同一商业银行的银行存款、同业存单占本理财产品资产净值的比例合计不得超过20%。</w:t>
      </w:r>
    </w:p>
    <w:p>
      <w:pPr>
        <w:ind w:firstLine="480" w:firstLineChars="200"/>
        <w:rPr>
          <w:rFonts w:ascii="楷体" w:hAnsi="楷体" w:eastAsia="楷体" w:cs="Calibri"/>
          <w:sz w:val="24"/>
          <w:szCs w:val="24"/>
        </w:rPr>
      </w:pPr>
      <w:r>
        <w:rPr>
          <w:rFonts w:hint="eastAsia" w:ascii="楷体" w:hAnsi="楷体" w:eastAsia="楷体" w:cs="Calibri"/>
          <w:sz w:val="24"/>
          <w:szCs w:val="24"/>
        </w:rPr>
        <w:t>（6）管理人管理的全部现金管理类产品投资于同一商业银行的存款、同业存单和债券，不得超过该商业银行最近一个季度末净资产的10%。</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因非管理人主观因素致使不符合上述第（1）项、第（2）项比例限制的，管理人将在流动性受限资产可出售、可转让或者恢复交易的10个交易日内调整至符合相关要求。</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因非管理人主观因素导致突破上述第（3）项至第（6）项比例限制的，管理人应当在10个交易日内调整至符合要求，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本理财产品拟投资于主体信用评级低于AA＋的商业银行的银行存款与同业存单的，应当经管理人董事会审议批准，相关交易应当事先告知托管人，并作为重大事项履行信息披露程序。</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2</w:t>
      </w:r>
      <w:r>
        <w:rPr>
          <w:rFonts w:hint="eastAsia" w:ascii="楷体" w:hAnsi="楷体" w:eastAsia="楷体" w:cs="Calibri"/>
          <w:b/>
          <w:sz w:val="24"/>
          <w:szCs w:val="24"/>
          <w:u w:val="single"/>
        </w:rPr>
        <w:t>．本理财产品不得投资以下金融工具：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（1）股票；</w:t>
      </w:r>
    </w:p>
    <w:p>
      <w:pPr>
        <w:ind w:firstLine="480" w:firstLineChars="200"/>
        <w:rPr>
          <w:rFonts w:ascii="楷体" w:hAnsi="楷体" w:eastAsia="楷体" w:cs="Calibri"/>
          <w:sz w:val="24"/>
          <w:szCs w:val="24"/>
        </w:rPr>
      </w:pPr>
      <w:r>
        <w:rPr>
          <w:rFonts w:hint="eastAsia" w:ascii="楷体" w:hAnsi="楷体" w:eastAsia="楷体" w:cs="Calibri"/>
          <w:sz w:val="24"/>
          <w:szCs w:val="24"/>
        </w:rPr>
        <w:t>（2）可转换债券、可交换债券；</w:t>
      </w:r>
    </w:p>
    <w:p>
      <w:pPr>
        <w:ind w:firstLine="480" w:firstLineChars="200"/>
        <w:rPr>
          <w:rFonts w:ascii="楷体" w:hAnsi="楷体" w:eastAsia="楷体" w:cs="Calibri"/>
          <w:sz w:val="24"/>
          <w:szCs w:val="24"/>
        </w:rPr>
      </w:pPr>
      <w:r>
        <w:rPr>
          <w:rFonts w:hint="eastAsia" w:ascii="楷体" w:hAnsi="楷体" w:eastAsia="楷体" w:cs="Calibri"/>
          <w:sz w:val="24"/>
          <w:szCs w:val="24"/>
        </w:rPr>
        <w:t>（3）以定期存款利率为基准利率的浮动利率债券，已进入最后一个利率调整期的除外；</w:t>
      </w:r>
    </w:p>
    <w:p>
      <w:pPr>
        <w:ind w:firstLine="480" w:firstLineChars="200"/>
        <w:rPr>
          <w:rFonts w:ascii="楷体" w:hAnsi="楷体" w:eastAsia="楷体" w:cs="Calibri"/>
          <w:sz w:val="24"/>
          <w:szCs w:val="24"/>
        </w:rPr>
      </w:pPr>
      <w:r>
        <w:rPr>
          <w:rFonts w:hint="eastAsia" w:ascii="楷体" w:hAnsi="楷体" w:eastAsia="楷体" w:cs="Calibri"/>
          <w:sz w:val="24"/>
          <w:szCs w:val="24"/>
        </w:rPr>
        <w:t>（4）信用等级在AA＋以下的债券、资产支持证券；</w:t>
      </w:r>
    </w:p>
    <w:p>
      <w:pPr>
        <w:ind w:firstLine="480" w:firstLineChars="200"/>
        <w:rPr>
          <w:rFonts w:ascii="楷体" w:hAnsi="楷体" w:eastAsia="楷体" w:cs="Calibri"/>
          <w:sz w:val="24"/>
          <w:szCs w:val="24"/>
        </w:rPr>
      </w:pPr>
      <w:r>
        <w:rPr>
          <w:rFonts w:hint="eastAsia" w:ascii="楷体" w:hAnsi="楷体" w:eastAsia="楷体" w:cs="Calibri"/>
          <w:sz w:val="24"/>
          <w:szCs w:val="24"/>
        </w:rPr>
        <w:t>（5）</w:t>
      </w:r>
      <w:r>
        <w:rPr>
          <w:rFonts w:hint="eastAsia" w:ascii="楷体" w:hAnsi="楷体" w:eastAsia="楷体"/>
          <w:color w:val="auto"/>
          <w:sz w:val="24"/>
          <w:szCs w:val="24"/>
          <w:lang w:val="en-US" w:eastAsia="zh-CN"/>
        </w:rPr>
        <w:t>金融监管总局</w:t>
      </w:r>
      <w:r>
        <w:rPr>
          <w:rFonts w:hint="eastAsia" w:ascii="楷体" w:hAnsi="楷体" w:eastAsia="楷体" w:cs="Calibri"/>
          <w:sz w:val="24"/>
          <w:szCs w:val="24"/>
        </w:rPr>
        <w:t>、中国人民银行禁止投资的其他金融工具。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前述债券的信用等级应当主要参照最近一个会计年度的主体信用评级，如果对发行人同时有两家以上境内评级机构评级的，应当选择使用评级较低、违约概率较大的外部评级结果，并结合管理人内部评级进行独立判断和认定。</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3</w:t>
      </w:r>
      <w:r>
        <w:rPr>
          <w:rFonts w:hint="eastAsia" w:ascii="楷体" w:hAnsi="楷体" w:eastAsia="楷体" w:cs="Calibri"/>
          <w:b/>
          <w:sz w:val="24"/>
          <w:szCs w:val="24"/>
          <w:u w:val="single"/>
        </w:rPr>
        <w:t>．本产品应当确保持有足够的具有良好流动性的资产，并符合以下要求：</w:t>
      </w:r>
    </w:p>
    <w:p>
      <w:pPr>
        <w:ind w:firstLine="480" w:firstLineChars="200"/>
        <w:rPr>
          <w:rFonts w:ascii="楷体" w:hAnsi="楷体" w:eastAsia="楷体" w:cs="Calibri"/>
          <w:sz w:val="24"/>
          <w:szCs w:val="24"/>
        </w:rPr>
      </w:pPr>
      <w:r>
        <w:rPr>
          <w:rFonts w:hint="eastAsia" w:ascii="楷体" w:hAnsi="楷体" w:eastAsia="楷体" w:cs="Calibri"/>
          <w:sz w:val="24"/>
          <w:szCs w:val="24"/>
        </w:rPr>
        <w:t>（1）本理财产品持有不低于本理财产品资产净值5%的现金、国债、中央银行票据、政策性金融债券。</w:t>
      </w:r>
    </w:p>
    <w:p>
      <w:pPr>
        <w:ind w:firstLine="480" w:firstLineChars="200"/>
        <w:rPr>
          <w:rFonts w:ascii="楷体" w:hAnsi="楷体" w:eastAsia="楷体" w:cs="Calibri"/>
          <w:sz w:val="24"/>
          <w:szCs w:val="24"/>
        </w:rPr>
      </w:pPr>
      <w:r>
        <w:rPr>
          <w:rFonts w:hint="eastAsia" w:ascii="楷体" w:hAnsi="楷体" w:eastAsia="楷体" w:cs="Calibri"/>
          <w:sz w:val="24"/>
          <w:szCs w:val="24"/>
        </w:rPr>
        <w:t>（2）本理财产品持有不低于本理财产品资产净值10%的现金、国债、中央银行票据、政策性金融债券以及五个交易日内到期的其他金融工具。</w:t>
      </w:r>
    </w:p>
    <w:p>
      <w:pPr>
        <w:ind w:firstLine="480" w:firstLineChars="200"/>
        <w:rPr>
          <w:rFonts w:ascii="楷体" w:hAnsi="楷体" w:eastAsia="楷体" w:cs="Calibri"/>
          <w:sz w:val="24"/>
          <w:szCs w:val="24"/>
        </w:rPr>
      </w:pPr>
      <w:r>
        <w:rPr>
          <w:rFonts w:hint="eastAsia" w:ascii="楷体" w:hAnsi="楷体" w:eastAsia="楷体" w:cs="Calibri"/>
          <w:sz w:val="24"/>
          <w:szCs w:val="24"/>
        </w:rPr>
        <w:t>（3）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pPr>
        <w:ind w:firstLine="480" w:firstLineChars="200"/>
        <w:rPr>
          <w:rFonts w:ascii="楷体" w:hAnsi="楷体" w:eastAsia="楷体" w:cs="Calibri"/>
          <w:sz w:val="24"/>
          <w:szCs w:val="24"/>
        </w:rPr>
      </w:pPr>
      <w:r>
        <w:rPr>
          <w:rFonts w:hint="eastAsia" w:ascii="楷体" w:hAnsi="楷体" w:eastAsia="楷体" w:cs="Calibri"/>
          <w:sz w:val="24"/>
          <w:szCs w:val="24"/>
        </w:rPr>
        <w:t>（</w:t>
      </w:r>
      <w:r>
        <w:rPr>
          <w:rFonts w:ascii="楷体" w:hAnsi="楷体" w:eastAsia="楷体" w:cs="Calibri"/>
          <w:sz w:val="24"/>
          <w:szCs w:val="24"/>
        </w:rPr>
        <w:t>4）本理财产品的杠杆水平不得超过120%，发生巨额赎回、连续3个交易日累计赎回20%以上或者连续5个交易日累计赎回30%以上的情形除外。</w:t>
      </w:r>
    </w:p>
    <w:p>
      <w:pPr>
        <w:ind w:firstLine="480" w:firstLineChars="200"/>
        <w:rPr>
          <w:rFonts w:ascii="楷体" w:hAnsi="楷体" w:eastAsia="楷体" w:cs="Calibri"/>
          <w:sz w:val="24"/>
          <w:szCs w:val="24"/>
        </w:rPr>
      </w:pPr>
      <w:r>
        <w:rPr>
          <w:rFonts w:hint="eastAsia" w:ascii="楷体" w:hAnsi="楷体" w:eastAsia="楷体" w:cs="Calibri"/>
          <w:sz w:val="24"/>
          <w:szCs w:val="24"/>
        </w:rPr>
        <w:t>因非管理人主观因素导致突破上述第（</w:t>
      </w:r>
      <w:r>
        <w:rPr>
          <w:rFonts w:ascii="楷体" w:hAnsi="楷体" w:eastAsia="楷体" w:cs="Calibri"/>
          <w:sz w:val="24"/>
          <w:szCs w:val="24"/>
        </w:rPr>
        <w:t>2）项、第（4）项比例限制的，</w:t>
      </w:r>
      <w:r>
        <w:rPr>
          <w:rFonts w:hint="eastAsia" w:ascii="楷体" w:hAnsi="楷体" w:eastAsia="楷体" w:cs="Calibri"/>
          <w:sz w:val="24"/>
          <w:szCs w:val="24"/>
        </w:rPr>
        <w:t>管理人应当在</w:t>
      </w:r>
      <w:r>
        <w:rPr>
          <w:rFonts w:ascii="楷体" w:hAnsi="楷体" w:eastAsia="楷体" w:cs="Calibri"/>
          <w:sz w:val="24"/>
          <w:szCs w:val="24"/>
        </w:rPr>
        <w:t>10个交易日</w:t>
      </w:r>
      <w:r>
        <w:rPr>
          <w:rFonts w:hint="eastAsia" w:ascii="楷体" w:hAnsi="楷体" w:eastAsia="楷体" w:cs="Calibri"/>
          <w:sz w:val="24"/>
          <w:szCs w:val="24"/>
        </w:rPr>
        <w:t>内调整至符合要求；因非管理人主观因素导致突破上述第（3）项比例限制的，管理人不得主动新增流动性受限资产的投资。</w:t>
      </w:r>
    </w:p>
    <w:p>
      <w:pPr>
        <w:ind w:firstLine="480" w:firstLineChars="200"/>
        <w:rPr>
          <w:rFonts w:ascii="楷体" w:hAnsi="楷体" w:eastAsia="楷体" w:cs="Calibri"/>
          <w:sz w:val="24"/>
          <w:szCs w:val="24"/>
        </w:rPr>
      </w:pPr>
      <w:r>
        <w:rPr>
          <w:rFonts w:hint="eastAsia" w:ascii="楷体" w:hAnsi="楷体" w:eastAsia="楷体" w:cs="Calibri"/>
          <w:sz w:val="24"/>
          <w:szCs w:val="24"/>
        </w:rPr>
        <w:t>4</w:t>
      </w:r>
      <w:r>
        <w:rPr>
          <w:rFonts w:ascii="楷体" w:hAnsi="楷体" w:eastAsia="楷体" w:cs="Calibri"/>
          <w:sz w:val="24"/>
          <w:szCs w:val="24"/>
        </w:rPr>
        <w:t>.</w:t>
      </w:r>
      <w:r>
        <w:rPr>
          <w:rFonts w:hint="eastAsia"/>
        </w:rPr>
        <w:t xml:space="preserve"> </w:t>
      </w:r>
      <w:r>
        <w:rPr>
          <w:rFonts w:hint="eastAsia" w:ascii="楷体" w:hAnsi="楷体" w:eastAsia="楷体" w:cs="Calibri"/>
          <w:sz w:val="24"/>
          <w:szCs w:val="24"/>
        </w:rPr>
        <w:t>本理财产品投资不存在活跃交易市场并且需要采用估值技术确定公允价值的资产比例不得达到或超过本理财产品净资产50%。非因管理人主观因素导致突破前款规定比例限制的,本理财产品不得新增投资上述资产。</w:t>
      </w:r>
    </w:p>
    <w:p>
      <w:pPr>
        <w:ind w:firstLine="482" w:firstLineChars="200"/>
        <w:rPr>
          <w:rFonts w:ascii="楷体" w:hAnsi="楷体" w:eastAsia="楷体" w:cs="Calibri"/>
          <w:b/>
          <w:sz w:val="24"/>
          <w:szCs w:val="24"/>
          <w:u w:val="single"/>
        </w:rPr>
      </w:pPr>
      <w:r>
        <w:rPr>
          <w:rFonts w:ascii="楷体" w:hAnsi="楷体" w:eastAsia="楷体" w:cs="Calibri"/>
          <w:b/>
          <w:sz w:val="24"/>
          <w:szCs w:val="24"/>
          <w:u w:val="single"/>
        </w:rPr>
        <w:t>5.</w:t>
      </w:r>
      <w:r>
        <w:rPr>
          <w:b/>
          <w:u w:val="single"/>
        </w:rPr>
        <w:t xml:space="preserve"> </w:t>
      </w:r>
      <w:r>
        <w:rPr>
          <w:rFonts w:hint="eastAsia" w:ascii="楷体" w:hAnsi="楷体" w:eastAsia="楷体" w:cs="Calibri"/>
          <w:b/>
          <w:sz w:val="24"/>
          <w:szCs w:val="24"/>
          <w:u w:val="single"/>
        </w:rPr>
        <w:t>在开放日前一工作日内，本理财产品</w:t>
      </w:r>
      <w:r>
        <w:rPr>
          <w:rFonts w:ascii="楷体" w:hAnsi="楷体" w:eastAsia="楷体" w:cs="Calibri"/>
          <w:b/>
          <w:sz w:val="24"/>
          <w:szCs w:val="24"/>
          <w:u w:val="single"/>
        </w:rPr>
        <w:t>7个工作日可变现资产的可变现价</w:t>
      </w:r>
      <w:r>
        <w:rPr>
          <w:rFonts w:hint="eastAsia" w:ascii="楷体" w:hAnsi="楷体" w:eastAsia="楷体" w:cs="Calibri"/>
          <w:b/>
          <w:sz w:val="24"/>
          <w:szCs w:val="24"/>
          <w:u w:val="single"/>
        </w:rPr>
        <w:t>值应当不低于本产品净资产的</w:t>
      </w:r>
      <w:r>
        <w:rPr>
          <w:rFonts w:ascii="楷体" w:hAnsi="楷体" w:eastAsia="楷体" w:cs="Calibri"/>
          <w:b/>
          <w:sz w:val="24"/>
          <w:szCs w:val="24"/>
          <w:u w:val="single"/>
        </w:rPr>
        <w:t>10%。</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w:t>
      </w:r>
      <w:r>
        <w:rPr>
          <w:rFonts w:hint="eastAsia"/>
        </w:rPr>
        <w:t xml:space="preserve"> </w:t>
      </w:r>
      <w:r>
        <w:rPr>
          <w:rFonts w:hint="eastAsia" w:ascii="楷体" w:hAnsi="楷体" w:eastAsia="楷体" w:cs="Calibri"/>
          <w:b/>
          <w:sz w:val="24"/>
          <w:szCs w:val="24"/>
          <w:u w:val="single"/>
        </w:rPr>
        <w:t>本理财产品投资组合的平均剩余期限不得超过</w:t>
      </w:r>
      <w:r>
        <w:rPr>
          <w:rFonts w:ascii="楷体" w:hAnsi="楷体" w:eastAsia="楷体" w:cs="Calibri"/>
          <w:b/>
          <w:sz w:val="24"/>
          <w:szCs w:val="24"/>
          <w:u w:val="single"/>
        </w:rPr>
        <w:t>120天，平均剩余存续期限不得超过240</w:t>
      </w:r>
      <w:r>
        <w:rPr>
          <w:rFonts w:hint="eastAsia" w:ascii="楷体" w:hAnsi="楷体" w:eastAsia="楷体" w:cs="Calibri"/>
          <w:b/>
          <w:sz w:val="24"/>
          <w:szCs w:val="24"/>
          <w:u w:val="single"/>
        </w:rPr>
        <w:t>天。</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（∑本理财产品的资产×剩余期限—∑本理财产品的负债×剩余期限＋债券卖出回购×剩余期限）/（本理财产品的资产—本理财产品的负债＋债券卖出回购）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w:t>
      </w:r>
      <w:r>
        <w:rPr>
          <w:rFonts w:hint="eastAsia" w:ascii="楷体" w:hAnsi="楷体" w:eastAsia="楷体" w:cs="Calibri"/>
          <w:b/>
          <w:sz w:val="24"/>
          <w:szCs w:val="24"/>
        </w:rPr>
        <w:t>投资组合平均剩余存续期限</w:t>
      </w:r>
      <w:r>
        <w:rPr>
          <w:rFonts w:hint="eastAsia" w:ascii="楷体" w:hAnsi="楷体" w:eastAsia="楷体" w:cs="Calibri"/>
          <w:sz w:val="24"/>
          <w:szCs w:val="24"/>
        </w:rPr>
        <w:t>的计算公式为：</w:t>
      </w:r>
    </w:p>
    <w:p>
      <w:pPr>
        <w:ind w:firstLine="480" w:firstLineChars="200"/>
        <w:rPr>
          <w:rFonts w:ascii="楷体" w:hAnsi="楷体" w:eastAsia="楷体" w:cs="Calibri"/>
          <w:sz w:val="24"/>
          <w:szCs w:val="24"/>
        </w:rPr>
      </w:pPr>
      <w:r>
        <w:rPr>
          <w:rFonts w:hint="eastAsia" w:ascii="楷体" w:hAnsi="楷体" w:eastAsia="楷体" w:cs="Calibri"/>
          <w:sz w:val="24"/>
          <w:szCs w:val="24"/>
        </w:rPr>
        <w:t>（∑本理财产品的资产×剩余存续期限—∑本理财产品的负债×剩余存续期限＋债券卖出回购×剩余存续期限）/（本理财产品的资产—本理财产品的负债＋债券卖出回购）</w:t>
      </w:r>
    </w:p>
    <w:p>
      <w:pPr>
        <w:ind w:firstLine="480" w:firstLineChars="200"/>
        <w:rPr>
          <w:rFonts w:ascii="楷体" w:hAnsi="楷体" w:eastAsia="楷体" w:cs="Calibri"/>
          <w:sz w:val="24"/>
          <w:szCs w:val="24"/>
        </w:rPr>
      </w:pPr>
      <w:r>
        <w:rPr>
          <w:rFonts w:hint="eastAsia" w:ascii="楷体" w:hAnsi="楷体" w:eastAsia="楷体" w:cs="Calibri"/>
          <w:sz w:val="24"/>
          <w:szCs w:val="24"/>
        </w:rPr>
        <w:t>投资组合中债券的剩余期限和剩余存续期限是指计算日至债券到期日为止所剩余的天数，以下情况除外：</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允许投资的可变利率或者浮动利率债券的剩余期限以计算日至下一个利率调整日的实际剩余天数计算。</w:t>
      </w:r>
    </w:p>
    <w:p>
      <w:pPr>
        <w:ind w:firstLine="480" w:firstLineChars="200"/>
        <w:rPr>
          <w:rFonts w:ascii="楷体" w:hAnsi="楷体" w:eastAsia="楷体" w:cs="Calibri"/>
          <w:sz w:val="24"/>
          <w:szCs w:val="24"/>
        </w:rPr>
      </w:pPr>
      <w:r>
        <w:rPr>
          <w:rFonts w:hint="eastAsia" w:ascii="楷体" w:hAnsi="楷体" w:eastAsia="楷体" w:cs="Calibri"/>
          <w:sz w:val="24"/>
          <w:szCs w:val="24"/>
        </w:rPr>
        <w:t>允许投资的可变利率或者浮动利率债券的剩余存续期限以计算日至债券到期日的实际剩余天数计算。</w:t>
      </w:r>
    </w:p>
    <w:p>
      <w:pPr>
        <w:ind w:firstLine="482" w:firstLineChars="200"/>
        <w:rPr>
          <w:rFonts w:ascii="楷体" w:hAnsi="楷体" w:eastAsia="楷体" w:cs="Calibri"/>
          <w:sz w:val="24"/>
          <w:szCs w:val="24"/>
        </w:rPr>
      </w:pPr>
      <w:r>
        <w:rPr>
          <w:rFonts w:ascii="楷体" w:hAnsi="楷体" w:eastAsia="楷体" w:cs="Calibri"/>
          <w:b/>
          <w:sz w:val="24"/>
          <w:szCs w:val="24"/>
          <w:u w:val="single"/>
        </w:rPr>
        <w:t>7.</w:t>
      </w:r>
      <w:r>
        <w:rPr>
          <w:rFonts w:hint="eastAsia" w:ascii="楷体" w:hAnsi="楷体" w:eastAsia="楷体" w:cs="Calibri"/>
          <w:b/>
          <w:sz w:val="24"/>
          <w:szCs w:val="24"/>
          <w:u w:val="single"/>
        </w:rPr>
        <w:t>管理人应根据投资者集中度情况对投资组合实施调整，并遵守以下要求</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（1）当前1</w:t>
      </w:r>
      <w:r>
        <w:rPr>
          <w:rFonts w:ascii="楷体" w:hAnsi="楷体" w:eastAsia="楷体" w:cs="Calibri"/>
          <w:sz w:val="24"/>
          <w:szCs w:val="24"/>
        </w:rPr>
        <w:t>0</w:t>
      </w:r>
      <w:r>
        <w:rPr>
          <w:rFonts w:hint="eastAsia" w:ascii="楷体" w:hAnsi="楷体" w:eastAsia="楷体" w:cs="Calibri"/>
          <w:sz w:val="24"/>
          <w:szCs w:val="24"/>
        </w:rPr>
        <w:t>名投资者的持有份额合计超过本理财产品总份额的</w:t>
      </w:r>
      <w:r>
        <w:rPr>
          <w:rFonts w:ascii="楷体" w:hAnsi="楷体" w:eastAsia="楷体" w:cs="Calibri"/>
          <w:b/>
          <w:sz w:val="24"/>
          <w:szCs w:val="24"/>
          <w:u w:val="single"/>
        </w:rPr>
        <w:t>50%</w:t>
      </w:r>
      <w:r>
        <w:rPr>
          <w:rFonts w:hint="eastAsia" w:ascii="楷体" w:hAnsi="楷体" w:eastAsia="楷体" w:cs="Calibri"/>
          <w:sz w:val="24"/>
          <w:szCs w:val="24"/>
        </w:rPr>
        <w:t>时，投资组合的平均剩余期限不得超过60天，平均剩余存续期限不得超过120天，投资组合中现金、国债、中央银行票据、政策性金融债券以及5个交易日内到期的其他金融工具占本理财产品资产净值的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30%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（2）当前10名投资者的持有份额合计超过本理财产品总份额的</w:t>
      </w:r>
      <w:r>
        <w:rPr>
          <w:rFonts w:ascii="楷体" w:hAnsi="楷体" w:eastAsia="楷体" w:cs="Calibri"/>
          <w:b/>
          <w:sz w:val="24"/>
          <w:szCs w:val="24"/>
          <w:u w:val="single"/>
        </w:rPr>
        <w:t>20%</w:t>
      </w:r>
      <w:r>
        <w:rPr>
          <w:rFonts w:hint="eastAsia" w:ascii="楷体" w:hAnsi="楷体" w:eastAsia="楷体" w:cs="Calibri"/>
          <w:sz w:val="24"/>
          <w:szCs w:val="24"/>
        </w:rPr>
        <w:t>时，投资组合的平均剩余期限不得超过90天，平均剩余存续期限不得超过180天，投资组合中现金、国债、中央银行票据、政策性金融债券以及5个交易日内到期的其他金融工具占本理财产品资产净值的</w:t>
      </w:r>
      <w:r>
        <w:rPr>
          <w:rFonts w:hint="eastAsia" w:ascii="楷体" w:hAnsi="楷体" w:eastAsia="楷体" w:cs="Calibri"/>
          <w:b/>
          <w:sz w:val="24"/>
          <w:szCs w:val="24"/>
          <w:u w:val="single"/>
        </w:rPr>
        <w:t>比例合计不得低于</w:t>
      </w:r>
      <w:r>
        <w:rPr>
          <w:rFonts w:ascii="楷体" w:hAnsi="楷体" w:eastAsia="楷体" w:cs="Calibri"/>
          <w:b/>
          <w:sz w:val="24"/>
          <w:szCs w:val="24"/>
          <w:u w:val="single"/>
        </w:rPr>
        <w:t>20%</w:t>
      </w:r>
      <w:r>
        <w:rPr>
          <w:rFonts w:hint="eastAsia" w:ascii="楷体" w:hAnsi="楷体" w:eastAsia="楷体" w:cs="Calibri"/>
          <w:sz w:val="24"/>
          <w:szCs w:val="24"/>
        </w:rPr>
        <w:t>。</w:t>
      </w:r>
    </w:p>
    <w:p>
      <w:pPr>
        <w:ind w:firstLine="480" w:firstLineChars="200"/>
        <w:rPr>
          <w:rFonts w:ascii="楷体" w:hAnsi="楷体" w:eastAsia="楷体" w:cs="Calibri"/>
          <w:sz w:val="24"/>
          <w:szCs w:val="24"/>
        </w:rPr>
      </w:pPr>
      <w:r>
        <w:rPr>
          <w:rFonts w:hint="eastAsia" w:ascii="楷体" w:hAnsi="楷体" w:eastAsia="楷体" w:cs="Calibri"/>
          <w:sz w:val="24"/>
          <w:szCs w:val="24"/>
        </w:rPr>
        <w:t>非因管理人主观因素导致突破上述第（1）项、第（2）项比例限制的，管理人应当在10个交易日内调整至符合要求，</w:t>
      </w:r>
      <w:r>
        <w:rPr>
          <w:rFonts w:hint="eastAsia" w:ascii="楷体" w:hAnsi="楷体" w:eastAsia="楷体" w:cs="Calibri"/>
          <w:sz w:val="24"/>
          <w:szCs w:val="24"/>
          <w:lang w:eastAsia="zh-CN"/>
        </w:rPr>
        <w:t>监管机构</w:t>
      </w:r>
      <w:r>
        <w:rPr>
          <w:rFonts w:hint="eastAsia" w:ascii="楷体" w:hAnsi="楷体" w:eastAsia="楷体" w:cs="Calibri"/>
          <w:sz w:val="24"/>
          <w:szCs w:val="24"/>
        </w:rPr>
        <w:t>规定的特殊情形除外。</w:t>
      </w:r>
    </w:p>
    <w:p>
      <w:pPr>
        <w:ind w:firstLine="480" w:firstLineChars="200"/>
        <w:rPr>
          <w:rFonts w:ascii="楷体" w:hAnsi="楷体" w:eastAsia="楷体" w:cs="Calibri"/>
          <w:b/>
          <w:sz w:val="24"/>
          <w:szCs w:val="24"/>
        </w:rPr>
      </w:pPr>
      <w:r>
        <w:rPr>
          <w:rFonts w:ascii="楷体" w:hAnsi="楷体" w:eastAsia="楷体" w:cs="Calibri"/>
          <w:sz w:val="24"/>
          <w:szCs w:val="24"/>
        </w:rPr>
        <w:t>8.</w:t>
      </w:r>
      <w:r>
        <w:rPr>
          <w:rFonts w:hint="eastAsia"/>
        </w:rPr>
        <w:t xml:space="preserve"> </w:t>
      </w:r>
      <w:r>
        <w:rPr>
          <w:rFonts w:hint="eastAsia" w:ascii="楷体" w:hAnsi="楷体" w:eastAsia="楷体" w:cs="Calibri"/>
          <w:sz w:val="24"/>
          <w:szCs w:val="24"/>
        </w:rPr>
        <w:t>如法律法规或监管政策对上述限制有最新规定的， 可参照法律法规或监管政策的规定调整。</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杠杆水平限制</w:t>
      </w:r>
    </w:p>
    <w:p>
      <w:pPr>
        <w:ind w:firstLine="482" w:firstLineChars="200"/>
        <w:rPr>
          <w:rFonts w:ascii="楷体" w:hAnsi="楷体" w:eastAsia="楷体"/>
          <w:sz w:val="24"/>
          <w:szCs w:val="24"/>
        </w:rPr>
      </w:pPr>
      <w:r>
        <w:rPr>
          <w:rFonts w:hint="eastAsia" w:ascii="楷体" w:hAnsi="楷体" w:eastAsia="楷体"/>
          <w:b/>
          <w:sz w:val="24"/>
          <w:szCs w:val="24"/>
          <w:u w:val="single"/>
        </w:rPr>
        <w:t>本理财产品资产总值</w:t>
      </w:r>
      <w:r>
        <w:rPr>
          <w:rFonts w:ascii="楷体" w:hAnsi="楷体" w:eastAsia="楷体"/>
          <w:b/>
          <w:sz w:val="24"/>
          <w:szCs w:val="24"/>
          <w:u w:val="single"/>
        </w:rPr>
        <w:t>/理财产品资产净值不超过120%</w:t>
      </w:r>
      <w:r>
        <w:rPr>
          <w:rFonts w:hint="eastAsia" w:ascii="楷体" w:hAnsi="楷体" w:eastAsia="楷体"/>
          <w:sz w:val="24"/>
          <w:szCs w:val="24"/>
        </w:rPr>
        <w:t>（如监管有最新规定的参照监管规定调整）。</w:t>
      </w:r>
    </w:p>
    <w:p>
      <w:pPr>
        <w:numPr>
          <w:ilvl w:val="0"/>
          <w:numId w:val="11"/>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投资范围调整</w:t>
      </w:r>
    </w:p>
    <w:p>
      <w:pPr>
        <w:ind w:firstLine="480" w:firstLineChars="200"/>
        <w:rPr>
          <w:rFonts w:ascii="楷体" w:hAnsi="楷体" w:eastAsia="楷体"/>
          <w:sz w:val="24"/>
          <w:szCs w:val="24"/>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八、产品认购</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认购期间：</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A份额：</w:t>
      </w:r>
      <w:r>
        <w:rPr>
          <w:rFonts w:hint="eastAsia" w:ascii="楷体" w:hAnsi="楷体" w:eastAsia="楷体" w:cs="Calibri"/>
          <w:sz w:val="24"/>
          <w:szCs w:val="24"/>
        </w:rPr>
        <w:t>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日9:00至202</w:t>
      </w:r>
      <w:r>
        <w:rPr>
          <w:rFonts w:hint="eastAsia" w:ascii="楷体" w:hAnsi="楷体" w:eastAsia="楷体" w:cs="Calibri"/>
          <w:sz w:val="24"/>
          <w:szCs w:val="24"/>
          <w:lang w:val="en-US" w:eastAsia="zh-CN"/>
        </w:rPr>
        <w:t>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26</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宋体"/>
          <w:spacing w:val="-2"/>
          <w:sz w:val="21"/>
          <w:szCs w:val="21"/>
          <w:lang w:val="en-US" w:eastAsia="zh-CN"/>
        </w:rPr>
        <w:t>W</w:t>
      </w:r>
      <w:r>
        <w:rPr>
          <w:rFonts w:hint="eastAsia" w:ascii="楷体" w:hAnsi="楷体" w:eastAsia="楷体" w:cs="Calibri"/>
          <w:sz w:val="24"/>
          <w:szCs w:val="24"/>
          <w:lang w:val="en-US" w:eastAsia="zh-CN"/>
        </w:rPr>
        <w:t>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w:t>
      </w:r>
      <w:r>
        <w:rPr>
          <w:rFonts w:hint="eastAsia" w:ascii="楷体" w:hAnsi="楷体" w:eastAsia="楷体" w:cs="Calibri"/>
          <w:sz w:val="24"/>
          <w:szCs w:val="24"/>
          <w:lang w:val="en-US" w:eastAsia="zh-CN"/>
        </w:rPr>
        <w:t>9</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月29日17:00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X份额：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月2</w:t>
      </w:r>
      <w:r>
        <w:rPr>
          <w:rFonts w:hint="eastAsia" w:ascii="楷体" w:hAnsi="楷体" w:eastAsia="楷体" w:cs="Calibri"/>
          <w:sz w:val="24"/>
          <w:szCs w:val="24"/>
          <w:lang w:val="en-US" w:eastAsia="zh-CN"/>
        </w:rPr>
        <w:t>8</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B/S份额：</w:t>
      </w:r>
      <w:r>
        <w:rPr>
          <w:rFonts w:hint="eastAsia" w:ascii="楷体" w:hAnsi="楷体" w:eastAsia="楷体" w:cs="Calibri"/>
          <w:sz w:val="24"/>
          <w:szCs w:val="24"/>
        </w:rPr>
        <w:t>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月2</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H份额：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21</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val="en-US" w:eastAsia="zh-CN"/>
        </w:rPr>
      </w:pPr>
      <w:r>
        <w:rPr>
          <w:rFonts w:hint="eastAsia" w:ascii="楷体" w:hAnsi="楷体" w:eastAsia="楷体" w:cs="Calibri"/>
          <w:sz w:val="24"/>
          <w:szCs w:val="24"/>
          <w:lang w:val="en-US" w:eastAsia="zh-CN"/>
        </w:rPr>
        <w:t>JS份额：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J份额：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22</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F份额：</w:t>
      </w:r>
      <w:r>
        <w:rPr>
          <w:rFonts w:hint="eastAsia" w:ascii="楷体" w:hAnsi="楷体" w:eastAsia="楷体" w:cs="Calibri"/>
          <w:sz w:val="24"/>
          <w:szCs w:val="24"/>
        </w:rPr>
        <w:t>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4</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0"/>
        </w:numPr>
        <w:tabs>
          <w:tab w:val="left" w:pos="993"/>
        </w:tabs>
        <w:ind w:leftChars="200"/>
        <w:rPr>
          <w:rFonts w:hint="eastAsia" w:ascii="楷体" w:hAnsi="楷体" w:eastAsia="楷体" w:cs="Calibri"/>
          <w:sz w:val="24"/>
          <w:szCs w:val="24"/>
          <w:lang w:eastAsia="zh-CN"/>
        </w:rPr>
      </w:pPr>
      <w:r>
        <w:rPr>
          <w:rFonts w:hint="eastAsia" w:ascii="楷体" w:hAnsi="楷体" w:eastAsia="楷体" w:cs="Calibri"/>
          <w:sz w:val="24"/>
          <w:szCs w:val="24"/>
          <w:lang w:val="en-US" w:eastAsia="zh-CN"/>
        </w:rPr>
        <w:t>K份额：</w:t>
      </w:r>
      <w:r>
        <w:rPr>
          <w:rFonts w:hint="eastAsia" w:ascii="楷体" w:hAnsi="楷体" w:eastAsia="楷体" w:cs="Calibri"/>
          <w:sz w:val="24"/>
          <w:szCs w:val="24"/>
        </w:rPr>
        <w:t>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日9:00至20</w:t>
      </w:r>
      <w:r>
        <w:rPr>
          <w:rFonts w:hint="eastAsia" w:ascii="楷体" w:hAnsi="楷体" w:eastAsia="楷体" w:cs="Calibri"/>
          <w:sz w:val="24"/>
          <w:szCs w:val="24"/>
          <w:lang w:val="en-US" w:eastAsia="zh-CN"/>
        </w:rPr>
        <w:t>25</w:t>
      </w:r>
      <w:r>
        <w:rPr>
          <w:rFonts w:hint="eastAsia" w:ascii="楷体" w:hAnsi="楷体" w:eastAsia="楷体" w:cs="Calibri"/>
          <w:sz w:val="24"/>
          <w:szCs w:val="24"/>
        </w:rPr>
        <w:t>年</w:t>
      </w:r>
      <w:r>
        <w:rPr>
          <w:rFonts w:hint="eastAsia" w:ascii="楷体" w:hAnsi="楷体" w:eastAsia="楷体" w:cs="Calibri"/>
          <w:sz w:val="24"/>
          <w:szCs w:val="24"/>
          <w:lang w:val="en-US" w:eastAsia="zh-CN"/>
        </w:rPr>
        <w:t>2</w:t>
      </w:r>
      <w:r>
        <w:rPr>
          <w:rFonts w:hint="eastAsia" w:ascii="楷体" w:hAnsi="楷体" w:eastAsia="楷体" w:cs="Calibri"/>
          <w:sz w:val="24"/>
          <w:szCs w:val="24"/>
        </w:rPr>
        <w:t>月</w:t>
      </w:r>
      <w:r>
        <w:rPr>
          <w:rFonts w:hint="eastAsia" w:ascii="楷体" w:hAnsi="楷体" w:eastAsia="楷体" w:cs="Calibri"/>
          <w:sz w:val="24"/>
          <w:szCs w:val="24"/>
          <w:lang w:val="en-US" w:eastAsia="zh-CN"/>
        </w:rPr>
        <w:t>10</w:t>
      </w:r>
      <w:r>
        <w:rPr>
          <w:rFonts w:hint="eastAsia" w:ascii="楷体" w:hAnsi="楷体" w:eastAsia="楷体" w:cs="Calibri"/>
          <w:sz w:val="24"/>
          <w:szCs w:val="24"/>
        </w:rPr>
        <w:t>日17:00</w:t>
      </w:r>
      <w:r>
        <w:rPr>
          <w:rFonts w:hint="eastAsia" w:ascii="楷体" w:hAnsi="楷体" w:eastAsia="楷体" w:cs="Calibri"/>
          <w:sz w:val="24"/>
          <w:szCs w:val="24"/>
          <w:lang w:eastAsia="zh-CN"/>
        </w:rPr>
        <w:t>。</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认购方式：本理财产品可在各销售机构指定渠道进行认购。</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认购规则：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本理财产品采取金额认购，投资者单笔认</w:t>
      </w:r>
      <w:r>
        <w:rPr>
          <w:rFonts w:hint="eastAsia" w:ascii="楷体" w:hAnsi="楷体" w:eastAsia="楷体" w:cs="Calibri"/>
          <w:sz w:val="24"/>
          <w:szCs w:val="24"/>
          <w:lang w:val="en-US" w:eastAsia="zh-CN"/>
        </w:rPr>
        <w:t>/申</w:t>
      </w:r>
      <w:r>
        <w:rPr>
          <w:rFonts w:hint="eastAsia" w:ascii="楷体" w:hAnsi="楷体" w:eastAsia="楷体" w:cs="Calibri"/>
          <w:sz w:val="24"/>
          <w:szCs w:val="24"/>
        </w:rPr>
        <w:t>购起点金额及追加金额如下表：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2"/>
        <w:gridCol w:w="1405"/>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销售名称</w:t>
            </w:r>
          </w:p>
        </w:tc>
        <w:tc>
          <w:tcPr>
            <w:tcW w:w="1405"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销售代码</w:t>
            </w:r>
          </w:p>
        </w:tc>
        <w:tc>
          <w:tcPr>
            <w:tcW w:w="1834"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首次认/申购</w:t>
            </w:r>
          </w:p>
          <w:p>
            <w:pPr>
              <w:tabs>
                <w:tab w:val="left" w:pos="993"/>
              </w:tabs>
              <w:jc w:val="center"/>
              <w:rPr>
                <w:rFonts w:ascii="楷体" w:hAnsi="楷体" w:eastAsia="楷体" w:cs="Calibri"/>
                <w:szCs w:val="21"/>
              </w:rPr>
            </w:pPr>
            <w:r>
              <w:rPr>
                <w:rFonts w:hint="eastAsia" w:ascii="楷体" w:hAnsi="楷体" w:eastAsia="楷体" w:cs="Calibri"/>
                <w:szCs w:val="21"/>
              </w:rPr>
              <w:t>起点金额</w:t>
            </w:r>
          </w:p>
        </w:tc>
        <w:tc>
          <w:tcPr>
            <w:tcW w:w="2301" w:type="dxa"/>
            <w:vAlign w:val="center"/>
          </w:tcPr>
          <w:p>
            <w:pPr>
              <w:tabs>
                <w:tab w:val="left" w:pos="993"/>
              </w:tabs>
              <w:jc w:val="center"/>
              <w:rPr>
                <w:rFonts w:ascii="楷体" w:hAnsi="楷体" w:eastAsia="楷体" w:cs="Calibri"/>
                <w:szCs w:val="21"/>
              </w:rPr>
            </w:pPr>
            <w:r>
              <w:rPr>
                <w:rFonts w:hint="eastAsia" w:ascii="楷体" w:hAnsi="楷体" w:eastAsia="楷体" w:cs="Calibri"/>
                <w:szCs w:val="21"/>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sz w:val="18"/>
                <w:szCs w:val="18"/>
                <w:lang w:eastAsia="zh-CN"/>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A</w:t>
            </w:r>
          </w:p>
        </w:tc>
        <w:tc>
          <w:tcPr>
            <w:tcW w:w="1405" w:type="dxa"/>
            <w:vAlign w:val="center"/>
          </w:tcPr>
          <w:p>
            <w:pPr>
              <w:tabs>
                <w:tab w:val="left" w:pos="993"/>
              </w:tabs>
              <w:jc w:val="center"/>
              <w:rPr>
                <w:rFonts w:hint="default" w:ascii="楷体" w:hAnsi="楷体" w:eastAsia="宋体" w:cs="Calibri"/>
                <w:sz w:val="18"/>
                <w:szCs w:val="18"/>
                <w:lang w:val="en-US" w:eastAsia="zh-CN"/>
              </w:rPr>
            </w:pPr>
            <w:r>
              <w:rPr>
                <w:rFonts w:hint="eastAsia" w:ascii="楷体" w:hAnsi="楷体" w:eastAsia="楷体" w:cs="Calibri"/>
                <w:sz w:val="18"/>
                <w:szCs w:val="18"/>
                <w:lang w:val="en-US" w:eastAsia="zh-CN"/>
              </w:rPr>
              <w:t>J02348</w:t>
            </w:r>
          </w:p>
        </w:tc>
        <w:tc>
          <w:tcPr>
            <w:tcW w:w="1834" w:type="dxa"/>
            <w:vAlign w:val="center"/>
          </w:tcPr>
          <w:p>
            <w:pPr>
              <w:tabs>
                <w:tab w:val="left" w:pos="993"/>
              </w:tabs>
              <w:jc w:val="center"/>
              <w:rPr>
                <w:rFonts w:ascii="楷体" w:hAnsi="楷体" w:eastAsia="楷体" w:cs="Calibri"/>
                <w:sz w:val="18"/>
                <w:szCs w:val="18"/>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ascii="楷体" w:hAnsi="楷体" w:eastAsia="楷体" w:cs="Calibri"/>
                <w:sz w:val="18"/>
                <w:szCs w:val="18"/>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宋体"/>
                <w:spacing w:val="-2"/>
                <w:sz w:val="18"/>
                <w:szCs w:val="18"/>
                <w:lang w:val="en-US"/>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W</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Calibri"/>
                <w:sz w:val="18"/>
                <w:szCs w:val="18"/>
                <w:lang w:val="en-US" w:eastAsia="zh-CN"/>
              </w:rPr>
              <w:t>J02425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现金5号</w:t>
            </w:r>
            <w:r>
              <w:rPr>
                <w:rFonts w:hint="eastAsia" w:ascii="楷体" w:hAnsi="楷体" w:eastAsia="楷体" w:cs="Calibri"/>
                <w:sz w:val="18"/>
                <w:szCs w:val="18"/>
                <w:lang w:val="en-US" w:eastAsia="zh-CN"/>
              </w:rPr>
              <w:t>X</w:t>
            </w:r>
          </w:p>
        </w:tc>
        <w:tc>
          <w:tcPr>
            <w:tcW w:w="1405" w:type="dxa"/>
            <w:vAlign w:val="center"/>
          </w:tcPr>
          <w:p>
            <w:pPr>
              <w:tabs>
                <w:tab w:val="left" w:pos="993"/>
              </w:tabs>
              <w:jc w:val="center"/>
              <w:rPr>
                <w:rFonts w:hint="eastAsia"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J02510</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B</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J02769</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S</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J02773</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default"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H</w:t>
            </w:r>
          </w:p>
        </w:tc>
        <w:tc>
          <w:tcPr>
            <w:tcW w:w="1405" w:type="dxa"/>
            <w:vAlign w:val="center"/>
          </w:tcPr>
          <w:p>
            <w:pPr>
              <w:tabs>
                <w:tab w:val="left" w:pos="993"/>
              </w:tabs>
              <w:jc w:val="center"/>
              <w:rPr>
                <w:rFonts w:hint="default" w:ascii="楷体" w:hAnsi="楷体" w:eastAsia="宋体" w:cs="Calibri"/>
                <w:kern w:val="2"/>
                <w:sz w:val="18"/>
                <w:szCs w:val="18"/>
                <w:lang w:val="en-US" w:eastAsia="zh-CN" w:bidi="ar-SA"/>
              </w:rPr>
            </w:pPr>
            <w:r>
              <w:rPr>
                <w:rFonts w:hint="eastAsia" w:ascii="楷体" w:hAnsi="楷体" w:eastAsia="楷体" w:cs="Calibri"/>
                <w:sz w:val="18"/>
                <w:szCs w:val="18"/>
                <w:lang w:val="en-US" w:eastAsia="zh-CN"/>
              </w:rPr>
              <w:t>J03415</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rPr>
              <w:t>苏银理财启源现金5号JS</w:t>
            </w:r>
            <w:r>
              <w:rPr>
                <w:rFonts w:hint="eastAsia" w:ascii="楷体" w:hAnsi="楷体" w:eastAsia="楷体" w:cs="宋体"/>
                <w:spacing w:val="-2"/>
                <w:sz w:val="18"/>
                <w:szCs w:val="18"/>
                <w:lang w:eastAsia="zh-CN"/>
              </w:rPr>
              <w:t>鑫福款</w:t>
            </w:r>
          </w:p>
        </w:tc>
        <w:tc>
          <w:tcPr>
            <w:tcW w:w="1405" w:type="dxa"/>
            <w:vAlign w:val="center"/>
          </w:tcPr>
          <w:p>
            <w:pPr>
              <w:tabs>
                <w:tab w:val="left" w:pos="993"/>
              </w:tabs>
              <w:jc w:val="center"/>
              <w:rPr>
                <w:rFonts w:hint="eastAsia" w:ascii="楷体" w:hAnsi="楷体" w:eastAsia="楷体" w:cs="Calibri"/>
                <w:sz w:val="18"/>
                <w:szCs w:val="18"/>
                <w:lang w:val="en-US" w:eastAsia="zh-CN"/>
              </w:rPr>
            </w:pPr>
            <w:r>
              <w:rPr>
                <w:rFonts w:hint="eastAsia" w:ascii="楷体" w:hAnsi="楷体" w:eastAsia="楷体" w:cs="宋体"/>
                <w:spacing w:val="-2"/>
                <w:sz w:val="18"/>
                <w:szCs w:val="18"/>
              </w:rPr>
              <w:t>J03576</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苏银理财启源现金5号J</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J03644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苏银理财启源现金5号F</w:t>
            </w:r>
          </w:p>
        </w:tc>
        <w:tc>
          <w:tcPr>
            <w:tcW w:w="1405" w:type="dxa"/>
            <w:vAlign w:val="center"/>
          </w:tcPr>
          <w:p>
            <w:pPr>
              <w:tabs>
                <w:tab w:val="left" w:pos="993"/>
              </w:tabs>
              <w:jc w:val="center"/>
              <w:rPr>
                <w:rFonts w:hint="eastAsia" w:ascii="楷体" w:hAnsi="楷体" w:eastAsia="楷体" w:cs="宋体"/>
                <w:spacing w:val="-2"/>
                <w:sz w:val="18"/>
                <w:szCs w:val="18"/>
              </w:rPr>
            </w:pPr>
            <w:r>
              <w:rPr>
                <w:rFonts w:hint="eastAsia" w:ascii="楷体" w:hAnsi="楷体" w:eastAsia="楷体" w:cs="宋体"/>
                <w:spacing w:val="-2"/>
                <w:sz w:val="18"/>
                <w:szCs w:val="18"/>
              </w:rPr>
              <w:t>J03674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2"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苏银理财</w:t>
            </w:r>
            <w:r>
              <w:rPr>
                <w:rFonts w:hint="eastAsia" w:ascii="楷体" w:hAnsi="楷体" w:eastAsia="楷体" w:cs="Calibri"/>
                <w:sz w:val="18"/>
                <w:szCs w:val="18"/>
              </w:rPr>
              <w:t>启源</w:t>
            </w:r>
            <w:r>
              <w:rPr>
                <w:rFonts w:hint="eastAsia" w:ascii="楷体" w:hAnsi="楷体" w:eastAsia="楷体" w:cs="Calibri"/>
                <w:sz w:val="18"/>
                <w:szCs w:val="18"/>
                <w:lang w:eastAsia="zh-CN"/>
              </w:rPr>
              <w:t>现金</w:t>
            </w:r>
            <w:r>
              <w:rPr>
                <w:rFonts w:hint="eastAsia" w:ascii="楷体" w:hAnsi="楷体" w:eastAsia="楷体" w:cs="Calibri"/>
                <w:sz w:val="18"/>
                <w:szCs w:val="18"/>
                <w:lang w:val="en-US" w:eastAsia="zh-CN"/>
              </w:rPr>
              <w:t>5</w:t>
            </w:r>
            <w:r>
              <w:rPr>
                <w:rFonts w:hint="eastAsia" w:ascii="楷体" w:hAnsi="楷体" w:eastAsia="楷体" w:cs="Calibri"/>
                <w:sz w:val="18"/>
                <w:szCs w:val="18"/>
                <w:lang w:eastAsia="zh-CN"/>
              </w:rPr>
              <w:t>号</w:t>
            </w:r>
            <w:r>
              <w:rPr>
                <w:rFonts w:hint="eastAsia" w:ascii="楷体" w:hAnsi="楷体" w:eastAsia="楷体" w:cs="Calibri"/>
                <w:sz w:val="18"/>
                <w:szCs w:val="18"/>
                <w:lang w:val="en-US" w:eastAsia="zh-CN"/>
              </w:rPr>
              <w:t>K</w:t>
            </w:r>
          </w:p>
        </w:tc>
        <w:tc>
          <w:tcPr>
            <w:tcW w:w="1405"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J0380</w:t>
            </w:r>
            <w:r>
              <w:rPr>
                <w:rFonts w:hint="eastAsia" w:ascii="楷体" w:hAnsi="楷体" w:eastAsia="楷体" w:cs="宋体"/>
                <w:spacing w:val="-2"/>
                <w:sz w:val="18"/>
                <w:szCs w:val="18"/>
                <w:lang w:val="en-US" w:eastAsia="zh-CN"/>
              </w:rPr>
              <w:t>4</w:t>
            </w:r>
          </w:p>
        </w:tc>
        <w:tc>
          <w:tcPr>
            <w:tcW w:w="1834"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Calibri"/>
                <w:sz w:val="18"/>
                <w:szCs w:val="18"/>
                <w:lang w:val="en-US" w:eastAsia="zh-CN"/>
              </w:rPr>
              <w:t>0.0</w:t>
            </w:r>
            <w:r>
              <w:rPr>
                <w:rFonts w:hint="eastAsia" w:ascii="楷体" w:hAnsi="楷体" w:eastAsia="楷体" w:cs="Calibri"/>
                <w:sz w:val="18"/>
                <w:szCs w:val="18"/>
              </w:rPr>
              <w:t>1元</w:t>
            </w:r>
          </w:p>
        </w:tc>
        <w:tc>
          <w:tcPr>
            <w:tcW w:w="2301" w:type="dxa"/>
            <w:vAlign w:val="center"/>
          </w:tcPr>
          <w:p>
            <w:pPr>
              <w:tabs>
                <w:tab w:val="left" w:pos="993"/>
              </w:tabs>
              <w:jc w:val="center"/>
              <w:rPr>
                <w:rFonts w:hint="eastAsia" w:ascii="楷体" w:hAnsi="楷体" w:eastAsia="楷体" w:cs="Calibri"/>
                <w:kern w:val="2"/>
                <w:sz w:val="18"/>
                <w:szCs w:val="18"/>
                <w:lang w:val="en-US" w:eastAsia="zh-CN" w:bidi="ar-SA"/>
              </w:rPr>
            </w:pPr>
            <w:r>
              <w:rPr>
                <w:rFonts w:hint="eastAsia" w:ascii="楷体" w:hAnsi="楷体" w:eastAsia="楷体" w:cs="宋体"/>
                <w:spacing w:val="-2"/>
                <w:sz w:val="18"/>
                <w:szCs w:val="18"/>
              </w:rPr>
              <w:t>0</w:t>
            </w:r>
            <w:r>
              <w:rPr>
                <w:rFonts w:ascii="楷体" w:hAnsi="楷体" w:eastAsia="楷体" w:cs="宋体"/>
                <w:spacing w:val="-2"/>
                <w:sz w:val="18"/>
                <w:szCs w:val="18"/>
              </w:rPr>
              <w:t>.</w:t>
            </w:r>
            <w:r>
              <w:rPr>
                <w:rFonts w:hint="eastAsia" w:ascii="楷体" w:hAnsi="楷体" w:eastAsia="楷体" w:cs="宋体"/>
                <w:spacing w:val="-2"/>
                <w:sz w:val="18"/>
                <w:szCs w:val="18"/>
              </w:rPr>
              <w:t>01元的整数倍</w:t>
            </w:r>
          </w:p>
        </w:tc>
      </w:tr>
    </w:tbl>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单一投资者单日累计认购上限：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。超过单日累计认购上限时，管理人有权拒绝投资者的认购申请。产品存续期内管理人有权根据实际情况调整单日累计认购上限</w:t>
      </w:r>
      <w:r>
        <w:rPr>
          <w:rFonts w:hint="eastAsia" w:ascii="楷体" w:hAnsi="楷体" w:eastAsia="楷体" w:cs="Calibri"/>
          <w:sz w:val="24"/>
          <w:szCs w:val="24"/>
        </w:rPr>
        <w:t>。</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认购资金的清算</w:t>
      </w:r>
    </w:p>
    <w:p>
      <w:pPr>
        <w:numPr>
          <w:ilvl w:val="0"/>
          <w:numId w:val="0"/>
        </w:numPr>
        <w:tabs>
          <w:tab w:val="left" w:pos="728"/>
        </w:tabs>
        <w:ind w:firstLine="480" w:firstLineChars="200"/>
        <w:rPr>
          <w:rFonts w:ascii="楷体" w:hAnsi="楷体" w:eastAsia="楷体" w:cs="Calibri"/>
          <w:sz w:val="24"/>
          <w:szCs w:val="24"/>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认购份额登记日：本理财产品</w:t>
      </w:r>
      <w:r>
        <w:rPr>
          <w:rFonts w:hint="eastAsia" w:ascii="楷体" w:hAnsi="楷体" w:eastAsia="楷体" w:cs="Calibri"/>
          <w:sz w:val="24"/>
          <w:szCs w:val="24"/>
          <w:lang w:val="en-US" w:eastAsia="zh-CN"/>
        </w:rPr>
        <w:t>A份额</w:t>
      </w:r>
      <w:r>
        <w:rPr>
          <w:rFonts w:hint="eastAsia" w:ascii="楷体" w:hAnsi="楷体" w:eastAsia="楷体" w:cs="Calibri"/>
          <w:sz w:val="24"/>
          <w:szCs w:val="24"/>
        </w:rPr>
        <w:t>于2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4</w:t>
      </w:r>
      <w:r>
        <w:rPr>
          <w:rFonts w:hint="eastAsia" w:ascii="楷体" w:hAnsi="楷体" w:eastAsia="楷体" w:cs="Calibri"/>
          <w:sz w:val="24"/>
          <w:szCs w:val="24"/>
        </w:rPr>
        <w:t>月</w:t>
      </w:r>
      <w:r>
        <w:rPr>
          <w:rFonts w:hint="eastAsia" w:ascii="楷体" w:hAnsi="楷体" w:eastAsia="楷体" w:cs="Calibri"/>
          <w:sz w:val="24"/>
          <w:szCs w:val="24"/>
          <w:lang w:val="en-US" w:eastAsia="zh-CN"/>
        </w:rPr>
        <w:t>27</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W份额于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5</w:t>
      </w:r>
      <w:r>
        <w:rPr>
          <w:rFonts w:hint="eastAsia" w:ascii="楷体" w:hAnsi="楷体" w:eastAsia="楷体" w:cs="Calibri"/>
          <w:sz w:val="24"/>
          <w:szCs w:val="24"/>
        </w:rPr>
        <w:t>月</w:t>
      </w:r>
      <w:r>
        <w:rPr>
          <w:rFonts w:hint="eastAsia" w:ascii="楷体" w:hAnsi="楷体" w:eastAsia="楷体" w:cs="Calibri"/>
          <w:sz w:val="24"/>
          <w:szCs w:val="24"/>
          <w:lang w:val="en-US" w:eastAsia="zh-CN"/>
        </w:rPr>
        <w:t>30</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X份额于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29</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B/S份额于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23</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H份额于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6</w:t>
      </w:r>
      <w:r>
        <w:rPr>
          <w:rFonts w:hint="eastAsia" w:ascii="楷体" w:hAnsi="楷体" w:eastAsia="楷体" w:cs="Calibri"/>
          <w:sz w:val="24"/>
          <w:szCs w:val="24"/>
        </w:rPr>
        <w:t>月</w:t>
      </w:r>
      <w:r>
        <w:rPr>
          <w:rFonts w:hint="eastAsia" w:ascii="楷体" w:hAnsi="楷体" w:eastAsia="楷体" w:cs="Calibri"/>
          <w:sz w:val="24"/>
          <w:szCs w:val="24"/>
          <w:lang w:val="en-US" w:eastAsia="zh-CN"/>
        </w:rPr>
        <w:t>24</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JS份额于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10</w:t>
      </w:r>
      <w:r>
        <w:rPr>
          <w:rFonts w:hint="eastAsia" w:ascii="楷体" w:hAnsi="楷体" w:eastAsia="楷体" w:cs="Calibri"/>
          <w:sz w:val="24"/>
          <w:szCs w:val="24"/>
        </w:rPr>
        <w:t>月</w:t>
      </w:r>
      <w:r>
        <w:rPr>
          <w:rFonts w:hint="eastAsia" w:ascii="楷体" w:hAnsi="楷体" w:eastAsia="楷体" w:cs="Calibri"/>
          <w:sz w:val="24"/>
          <w:szCs w:val="24"/>
          <w:lang w:val="en-US" w:eastAsia="zh-CN"/>
        </w:rPr>
        <w:t>23</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J份额于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11</w:t>
      </w:r>
      <w:r>
        <w:rPr>
          <w:rFonts w:hint="eastAsia" w:ascii="楷体" w:hAnsi="楷体" w:eastAsia="楷体" w:cs="Calibri"/>
          <w:sz w:val="24"/>
          <w:szCs w:val="24"/>
        </w:rPr>
        <w:t>月</w:t>
      </w:r>
      <w:r>
        <w:rPr>
          <w:rFonts w:hint="eastAsia" w:ascii="楷体" w:hAnsi="楷体" w:eastAsia="楷体" w:cs="Calibri"/>
          <w:sz w:val="24"/>
          <w:szCs w:val="24"/>
          <w:lang w:val="en-US" w:eastAsia="zh-CN"/>
        </w:rPr>
        <w:t>25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F份额于</w:t>
      </w:r>
      <w:r>
        <w:rPr>
          <w:rFonts w:hint="eastAsia" w:ascii="楷体" w:hAnsi="楷体" w:eastAsia="楷体" w:cs="Calibri"/>
          <w:sz w:val="24"/>
          <w:szCs w:val="24"/>
        </w:rPr>
        <w:t>2</w:t>
      </w:r>
      <w:r>
        <w:rPr>
          <w:rFonts w:ascii="楷体" w:hAnsi="楷体" w:eastAsia="楷体" w:cs="Calibri"/>
          <w:sz w:val="24"/>
          <w:szCs w:val="24"/>
        </w:rPr>
        <w:t>0</w:t>
      </w:r>
      <w:r>
        <w:rPr>
          <w:rFonts w:hint="eastAsia" w:ascii="楷体" w:hAnsi="楷体" w:eastAsia="楷体" w:cs="Calibri"/>
          <w:sz w:val="24"/>
          <w:szCs w:val="24"/>
          <w:lang w:val="en-US" w:eastAsia="zh-CN"/>
        </w:rPr>
        <w:t>24</w:t>
      </w:r>
      <w:r>
        <w:rPr>
          <w:rFonts w:hint="eastAsia" w:ascii="楷体" w:hAnsi="楷体" w:eastAsia="楷体" w:cs="Calibri"/>
          <w:sz w:val="24"/>
          <w:szCs w:val="24"/>
        </w:rPr>
        <w:t>年</w:t>
      </w:r>
      <w:r>
        <w:rPr>
          <w:rFonts w:hint="eastAsia" w:ascii="楷体" w:hAnsi="楷体" w:eastAsia="楷体" w:cs="Calibri"/>
          <w:sz w:val="24"/>
          <w:szCs w:val="24"/>
          <w:lang w:val="en-US" w:eastAsia="zh-CN"/>
        </w:rPr>
        <w:t>12</w:t>
      </w:r>
      <w:r>
        <w:rPr>
          <w:rFonts w:hint="eastAsia" w:ascii="楷体" w:hAnsi="楷体" w:eastAsia="楷体" w:cs="Calibri"/>
          <w:sz w:val="24"/>
          <w:szCs w:val="24"/>
        </w:rPr>
        <w:t>月</w:t>
      </w:r>
      <w:r>
        <w:rPr>
          <w:rFonts w:hint="eastAsia" w:ascii="楷体" w:hAnsi="楷体" w:eastAsia="楷体" w:cs="Calibri"/>
          <w:sz w:val="24"/>
          <w:szCs w:val="24"/>
          <w:lang w:val="en-US" w:eastAsia="zh-CN"/>
        </w:rPr>
        <w:t>5</w:t>
      </w:r>
      <w:r>
        <w:rPr>
          <w:rFonts w:hint="eastAsia" w:ascii="楷体" w:hAnsi="楷体" w:eastAsia="楷体" w:cs="Calibri"/>
          <w:sz w:val="24"/>
          <w:szCs w:val="24"/>
        </w:rPr>
        <w:t>日进行份额登记</w:t>
      </w:r>
      <w:r>
        <w:rPr>
          <w:rFonts w:hint="eastAsia" w:ascii="楷体" w:hAnsi="楷体" w:eastAsia="楷体" w:cs="Calibri"/>
          <w:sz w:val="24"/>
          <w:szCs w:val="24"/>
          <w:lang w:eastAsia="zh-CN"/>
        </w:rPr>
        <w:t>；</w:t>
      </w:r>
      <w:r>
        <w:rPr>
          <w:rFonts w:hint="eastAsia" w:ascii="楷体" w:hAnsi="楷体" w:eastAsia="楷体" w:cs="Calibri"/>
          <w:sz w:val="24"/>
          <w:szCs w:val="24"/>
          <w:highlight w:val="none"/>
          <w:lang w:val="en-US" w:eastAsia="zh-CN"/>
        </w:rPr>
        <w:t>K份额于2025年2月11日</w:t>
      </w:r>
      <w:r>
        <w:rPr>
          <w:rFonts w:hint="eastAsia" w:ascii="楷体" w:hAnsi="楷体" w:eastAsia="楷体" w:cs="Calibri"/>
          <w:sz w:val="24"/>
          <w:szCs w:val="24"/>
          <w:highlight w:val="none"/>
        </w:rPr>
        <w:t>进行</w:t>
      </w:r>
      <w:r>
        <w:rPr>
          <w:rFonts w:hint="eastAsia" w:ascii="楷体" w:hAnsi="楷体" w:eastAsia="楷体" w:cs="Calibri"/>
          <w:sz w:val="24"/>
          <w:szCs w:val="24"/>
          <w:highlight w:val="none"/>
          <w:lang w:val="en-US" w:eastAsia="zh-CN"/>
        </w:rPr>
        <w:t>份额登记。</w:t>
      </w:r>
    </w:p>
    <w:p>
      <w:pPr>
        <w:numPr>
          <w:ilvl w:val="0"/>
          <w:numId w:val="12"/>
        </w:numPr>
        <w:tabs>
          <w:tab w:val="left" w:pos="993"/>
        </w:tabs>
        <w:ind w:left="0" w:firstLine="480" w:firstLineChars="200"/>
        <w:rPr>
          <w:rFonts w:ascii="楷体" w:hAnsi="楷体" w:eastAsia="楷体" w:cs="Calibri"/>
          <w:sz w:val="24"/>
          <w:szCs w:val="24"/>
        </w:rPr>
      </w:pPr>
      <w:r>
        <w:rPr>
          <w:rFonts w:hint="eastAsia" w:ascii="楷体" w:hAnsi="楷体" w:eastAsia="楷体" w:cs="Calibri"/>
          <w:sz w:val="24"/>
          <w:szCs w:val="24"/>
        </w:rPr>
        <w:t>认购份额的计算</w:t>
      </w:r>
    </w:p>
    <w:p>
      <w:pPr>
        <w:ind w:firstLine="480" w:firstLineChars="200"/>
        <w:rPr>
          <w:rFonts w:ascii="楷体" w:hAnsi="楷体" w:eastAsia="楷体"/>
          <w:sz w:val="24"/>
          <w:szCs w:val="24"/>
        </w:rPr>
      </w:pPr>
      <w:r>
        <w:rPr>
          <w:rFonts w:ascii="楷体" w:hAnsi="楷体" w:eastAsia="楷体"/>
          <w:sz w:val="24"/>
          <w:szCs w:val="24"/>
        </w:rPr>
        <w:t>认购份额=</w:t>
      </w:r>
      <w:r>
        <w:rPr>
          <w:rFonts w:hint="eastAsia" w:ascii="楷体" w:hAnsi="楷体" w:eastAsia="楷体"/>
          <w:sz w:val="24"/>
          <w:szCs w:val="24"/>
        </w:rPr>
        <w:t>认购金额</w:t>
      </w:r>
      <w:r>
        <w:rPr>
          <w:rFonts w:ascii="楷体" w:hAnsi="楷体" w:eastAsia="楷体"/>
          <w:sz w:val="24"/>
          <w:szCs w:val="24"/>
        </w:rPr>
        <w:t>/</w:t>
      </w:r>
      <w:r>
        <w:rPr>
          <w:rFonts w:hint="eastAsia" w:ascii="楷体" w:hAnsi="楷体" w:eastAsia="楷体"/>
          <w:sz w:val="24"/>
          <w:szCs w:val="24"/>
        </w:rPr>
        <w:t>产品成立时单位净值</w:t>
      </w:r>
    </w:p>
    <w:p>
      <w:pPr>
        <w:ind w:firstLine="480" w:firstLineChars="200"/>
        <w:rPr>
          <w:rFonts w:ascii="楷体" w:hAnsi="楷体" w:eastAsia="楷体"/>
          <w:sz w:val="24"/>
          <w:szCs w:val="24"/>
        </w:rPr>
      </w:pPr>
      <w:r>
        <w:rPr>
          <w:rFonts w:hint="eastAsia" w:ascii="楷体" w:hAnsi="楷体" w:eastAsia="楷体"/>
          <w:sz w:val="24"/>
          <w:szCs w:val="24"/>
        </w:rPr>
        <w:t>产品成立时单位净值为1元/份，</w:t>
      </w:r>
      <w:r>
        <w:rPr>
          <w:rFonts w:ascii="楷体" w:hAnsi="楷体" w:eastAsia="楷体"/>
          <w:sz w:val="24"/>
          <w:szCs w:val="24"/>
        </w:rPr>
        <w:t>认购份额</w:t>
      </w:r>
      <w:r>
        <w:rPr>
          <w:rFonts w:hint="eastAsia" w:ascii="楷体" w:hAnsi="楷体" w:eastAsia="楷体"/>
          <w:sz w:val="24"/>
          <w:szCs w:val="24"/>
        </w:rPr>
        <w:t>以四舍五入的方法保留到小数点后两位。</w:t>
      </w: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九、产品申购、赎回</w:t>
      </w:r>
    </w:p>
    <w:p>
      <w:pPr>
        <w:numPr>
          <w:ilvl w:val="0"/>
          <w:numId w:val="1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申购</w:t>
      </w:r>
      <w:r>
        <w:rPr>
          <w:rFonts w:ascii="楷体" w:hAnsi="楷体" w:eastAsia="楷体" w:cs="Calibri"/>
          <w:b/>
          <w:sz w:val="24"/>
          <w:szCs w:val="24"/>
        </w:rPr>
        <w:t>及申购资金的清算</w:t>
      </w:r>
    </w:p>
    <w:p>
      <w:pPr>
        <w:numPr>
          <w:ilvl w:val="0"/>
          <w:numId w:val="14"/>
        </w:numPr>
        <w:tabs>
          <w:tab w:val="left" w:pos="728"/>
        </w:tabs>
        <w:ind w:left="0" w:firstLine="482" w:firstLineChars="200"/>
        <w:rPr>
          <w:rFonts w:ascii="楷体" w:hAnsi="楷体" w:eastAsia="楷体" w:cs="Calibri"/>
          <w:sz w:val="24"/>
          <w:szCs w:val="24"/>
        </w:rPr>
      </w:pPr>
      <w:r>
        <w:rPr>
          <w:rFonts w:hint="eastAsia" w:ascii="楷体" w:hAnsi="楷体" w:eastAsia="楷体" w:cs="Calibri"/>
          <w:b/>
          <w:sz w:val="24"/>
          <w:szCs w:val="24"/>
        </w:rPr>
        <w:t>申购期</w:t>
      </w:r>
      <w:r>
        <w:rPr>
          <w:rFonts w:hint="eastAsia" w:ascii="楷体" w:hAnsi="楷体" w:eastAsia="楷体" w:cs="Calibri"/>
          <w:sz w:val="24"/>
          <w:szCs w:val="24"/>
        </w:rPr>
        <w:t>：本产品存续期内，00:00至24:00投资者均可提交申购申请（系统清算时间除外）。</w:t>
      </w:r>
      <w:r>
        <w:rPr>
          <w:rFonts w:hint="eastAsia" w:ascii="楷体" w:hAnsi="楷体" w:eastAsia="楷体" w:cs="Calibri"/>
          <w:b/>
          <w:sz w:val="24"/>
          <w:szCs w:val="24"/>
          <w:highlight w:val="none"/>
          <w:u w:val="single"/>
        </w:rPr>
        <w:t>管理人在开放日对投资者的申购申请进行确认。</w:t>
      </w:r>
    </w:p>
    <w:p>
      <w:pPr>
        <w:numPr>
          <w:ilvl w:val="0"/>
          <w:numId w:val="14"/>
        </w:numPr>
        <w:tabs>
          <w:tab w:val="left" w:pos="728"/>
        </w:tabs>
        <w:ind w:left="0" w:firstLine="482" w:firstLineChars="200"/>
        <w:rPr>
          <w:rFonts w:ascii="楷体" w:hAnsi="楷体" w:eastAsia="楷体" w:cs="Calibri"/>
          <w:b/>
          <w:sz w:val="24"/>
          <w:szCs w:val="24"/>
        </w:rPr>
      </w:pPr>
      <w:r>
        <w:rPr>
          <w:rFonts w:hint="eastAsia" w:ascii="楷体" w:hAnsi="楷体" w:eastAsia="楷体" w:cs="Calibri"/>
          <w:b/>
          <w:sz w:val="24"/>
          <w:szCs w:val="24"/>
        </w:rPr>
        <w:t>申购原则</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“确定价”原则：投资者申购本理财产品时，采用“确定价”原则，价格为1元/份。</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“金额申购”原则：本理财产品申购以金额申请,申购份额=申购金额/产品单位净值。</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highlight w:val="none"/>
        </w:rPr>
        <w:t>单一投资者单日累计申购上限：</w:t>
      </w:r>
      <w:r>
        <w:rPr>
          <w:rFonts w:hint="eastAsia" w:ascii="楷体" w:hAnsi="楷体" w:eastAsia="楷体" w:cs="Calibri"/>
          <w:sz w:val="24"/>
          <w:szCs w:val="24"/>
          <w:highlight w:val="none"/>
          <w:lang w:val="en-US" w:eastAsia="zh-CN"/>
        </w:rPr>
        <w:t>暂无</w:t>
      </w:r>
      <w:r>
        <w:rPr>
          <w:rFonts w:hint="eastAsia" w:ascii="楷体" w:hAnsi="楷体" w:eastAsia="楷体" w:cs="Calibri"/>
          <w:sz w:val="24"/>
          <w:szCs w:val="24"/>
          <w:highlight w:val="none"/>
        </w:rPr>
        <w:t>。超过单日累计申购上限时，管理人有权拒绝投资者的申购申请。产品存续期内管理人有权根据实际情况调整单日累计申购上限</w:t>
      </w:r>
      <w:r>
        <w:rPr>
          <w:rFonts w:hint="eastAsia" w:ascii="楷体" w:hAnsi="楷体" w:eastAsia="楷体" w:cs="Calibri"/>
          <w:sz w:val="24"/>
          <w:szCs w:val="24"/>
        </w:rPr>
        <w:t>。</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产品单个开放日</w:t>
      </w:r>
      <w:r>
        <w:rPr>
          <w:rFonts w:hint="eastAsia" w:ascii="楷体" w:hAnsi="楷体" w:eastAsia="楷体" w:cs="Calibri"/>
          <w:sz w:val="24"/>
          <w:szCs w:val="24"/>
          <w:lang w:val="en-US" w:eastAsia="zh-CN"/>
        </w:rPr>
        <w:t>净</w:t>
      </w:r>
      <w:r>
        <w:rPr>
          <w:rFonts w:hint="eastAsia" w:ascii="楷体" w:hAnsi="楷体" w:eastAsia="楷体" w:cs="Calibri"/>
          <w:sz w:val="24"/>
          <w:szCs w:val="24"/>
        </w:rPr>
        <w:t>申购申请折算产品份额超过上一日产品总份额</w:t>
      </w:r>
      <w:r>
        <w:rPr>
          <w:rFonts w:ascii="楷体" w:hAnsi="楷体" w:eastAsia="楷体" w:cs="Calibri"/>
          <w:sz w:val="24"/>
          <w:szCs w:val="24"/>
        </w:rPr>
        <w:t>20%时</w:t>
      </w:r>
      <w:r>
        <w:rPr>
          <w:rFonts w:hint="eastAsia" w:ascii="楷体" w:hAnsi="楷体" w:eastAsia="楷体" w:cs="Calibri"/>
          <w:sz w:val="24"/>
          <w:szCs w:val="24"/>
        </w:rPr>
        <w:t>，即认为发生了巨额申购。当出现巨额申购时，产品管理人有权拒绝客户的全部或部分申购申请。</w:t>
      </w:r>
    </w:p>
    <w:p>
      <w:pPr>
        <w:numPr>
          <w:ilvl w:val="0"/>
          <w:numId w:val="15"/>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单一投资者持有上限：</w:t>
      </w:r>
    </w:p>
    <w:p>
      <w:pPr>
        <w:tabs>
          <w:tab w:val="left" w:pos="1092"/>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本理财产品不允许单一投资者持有份额超过本理财产品总份额的</w:t>
      </w:r>
      <w:r>
        <w:rPr>
          <w:rFonts w:ascii="楷体" w:hAnsi="楷体" w:eastAsia="楷体" w:cs="Calibri"/>
          <w:b/>
          <w:sz w:val="24"/>
          <w:szCs w:val="24"/>
          <w:u w:val="single"/>
        </w:rPr>
        <w:t>50%，</w:t>
      </w:r>
      <w:r>
        <w:rPr>
          <w:rFonts w:hint="eastAsia" w:ascii="楷体" w:hAnsi="楷体" w:eastAsia="楷体" w:cs="Calibri"/>
          <w:sz w:val="24"/>
          <w:szCs w:val="24"/>
        </w:rPr>
        <w:t>对于因理财产品销售募集情况、理财产品规模变化等非因管理人主观因素导致单一投资者持有理财产品份额的比例达到或超过50%的，管理人有权采取控制措施，包括但不限于暂停接受该投资者的认/申购申请、对持有理财产品份额的比例达到或超过50%的单一投资者采取比例确认等方式进行认/申购申请限制等。</w:t>
      </w:r>
    </w:p>
    <w:p>
      <w:pPr>
        <w:numPr>
          <w:ilvl w:val="0"/>
          <w:numId w:val="14"/>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申购确认规则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申购确认方式</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申购扣款日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hint="eastAsia" w:ascii="楷体" w:hAnsi="楷体" w:eastAsia="楷体" w:cs="Calibri"/>
                <w:szCs w:val="21"/>
                <w:highlight w:val="none"/>
                <w:lang w:val="en-US" w:eastAsia="zh-CN"/>
              </w:rPr>
              <w:t>:</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260"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tabs>
          <w:tab w:val="left" w:pos="1092"/>
        </w:tabs>
        <w:ind w:firstLine="480" w:firstLineChars="200"/>
        <w:rPr>
          <w:highlight w:val="none"/>
        </w:rPr>
      </w:pPr>
      <w:r>
        <w:rPr>
          <w:rFonts w:hint="eastAsia" w:ascii="楷体" w:hAnsi="楷体" w:eastAsia="楷体" w:cs="Calibri"/>
          <w:sz w:val="24"/>
          <w:szCs w:val="24"/>
          <w:highlight w:val="none"/>
          <w:lang w:val="en-US" w:eastAsia="zh-CN"/>
        </w:rPr>
        <w:t>其他</w:t>
      </w:r>
      <w:r>
        <w:rPr>
          <w:rFonts w:hint="eastAsia" w:ascii="楷体" w:hAnsi="楷体" w:eastAsia="楷体" w:cs="Calibri"/>
          <w:sz w:val="24"/>
          <w:szCs w:val="24"/>
          <w:highlight w:val="none"/>
        </w:rPr>
        <w:t>份额：</w:t>
      </w:r>
    </w:p>
    <w:tbl>
      <w:tblPr>
        <w:tblStyle w:val="14"/>
        <w:tblpPr w:leftFromText="180" w:rightFromText="180" w:vertAnchor="text" w:horzAnchor="margin" w:tblpY="18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3260"/>
        <w:gridCol w:w="1843"/>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申购申请时间</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申购确认方式</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申购扣款日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申购撤单截止时间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开放日0:</w:t>
            </w:r>
            <w:r>
              <w:rPr>
                <w:rFonts w:ascii="楷体" w:hAnsi="楷体" w:eastAsia="楷体" w:cs="Calibri"/>
                <w:szCs w:val="21"/>
              </w:rPr>
              <w:t>00-</w:t>
            </w:r>
            <w:r>
              <w:rPr>
                <w:rFonts w:hint="eastAsia" w:ascii="楷体" w:hAnsi="楷体" w:eastAsia="楷体" w:cs="Calibri"/>
                <w:szCs w:val="21"/>
                <w:lang w:eastAsia="zh-CN"/>
              </w:rPr>
              <w:t>17:00</w:t>
            </w:r>
            <w:r>
              <w:rPr>
                <w:rFonts w:hint="eastAsia" w:ascii="楷体" w:hAnsi="楷体" w:eastAsia="楷体" w:cs="Calibri"/>
                <w:szCs w:val="21"/>
              </w:rPr>
              <w:t>（不含）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开放日后第1个工作日对申购申请进行确认（T+1日）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w:t>
            </w:r>
            <w:r>
              <w:rPr>
                <w:rFonts w:hint="eastAsia" w:ascii="楷体" w:hAnsi="楷体" w:eastAsia="楷体" w:cs="Calibri"/>
                <w:szCs w:val="21"/>
                <w:lang w:eastAsia="zh-CN"/>
              </w:rPr>
              <w:t>17:00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开放日为T日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视为开放日后第1个工作日的申购，将于开放日后第2个工作日对申购申请进行确认（T+2日）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T+1日</w:t>
            </w:r>
            <w:r>
              <w:rPr>
                <w:rFonts w:hint="eastAsia" w:ascii="楷体" w:hAnsi="楷体" w:eastAsia="楷体" w:cs="Calibri"/>
                <w:szCs w:val="21"/>
                <w:lang w:eastAsia="zh-CN"/>
              </w:rPr>
              <w:t>17:00</w:t>
            </w:r>
            <w:r>
              <w:rPr>
                <w:rFonts w:hint="eastAsia" w:ascii="楷体" w:hAnsi="楷体" w:eastAsia="楷体" w:cs="Calibri"/>
                <w:szCs w:val="21"/>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非开放日00:00</w:t>
            </w:r>
            <w:r>
              <w:rPr>
                <w:rFonts w:ascii="楷体" w:hAnsi="楷体" w:eastAsia="楷体" w:cs="Calibri"/>
                <w:szCs w:val="21"/>
              </w:rPr>
              <w:t>-</w:t>
            </w:r>
            <w:r>
              <w:rPr>
                <w:rFonts w:hint="eastAsia" w:ascii="楷体" w:hAnsi="楷体" w:eastAsia="楷体" w:cs="Calibri"/>
                <w:szCs w:val="21"/>
              </w:rPr>
              <w:t>24</w:t>
            </w:r>
            <w:r>
              <w:rPr>
                <w:rFonts w:ascii="楷体" w:hAnsi="楷体" w:eastAsia="楷体" w:cs="Calibri"/>
                <w:szCs w:val="21"/>
              </w:rPr>
              <w:t>:</w:t>
            </w:r>
            <w:r>
              <w:rPr>
                <w:rFonts w:hint="eastAsia" w:ascii="楷体" w:hAnsi="楷体" w:eastAsia="楷体" w:cs="Calibri"/>
                <w:szCs w:val="21"/>
              </w:rPr>
              <w:t>00（不含）</w:t>
            </w:r>
          </w:p>
          <w:p>
            <w:pPr>
              <w:tabs>
                <w:tab w:val="left" w:pos="728"/>
                <w:tab w:val="left" w:pos="1092"/>
              </w:tabs>
              <w:jc w:val="center"/>
              <w:rPr>
                <w:rFonts w:ascii="楷体" w:hAnsi="楷体" w:eastAsia="楷体" w:cs="Calibri"/>
                <w:szCs w:val="21"/>
              </w:rPr>
            </w:pPr>
            <w:r>
              <w:rPr>
                <w:rFonts w:hint="eastAsia" w:ascii="楷体" w:hAnsi="楷体" w:eastAsia="楷体" w:cs="Calibri"/>
                <w:szCs w:val="21"/>
              </w:rPr>
              <w:t>非开放日后第1个工作日为T日</w:t>
            </w:r>
          </w:p>
        </w:tc>
        <w:tc>
          <w:tcPr>
            <w:tcW w:w="3260"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视为非开放日后第1个工作日的申购（T日），将于非开放日后第2个工作日对申购申请进行确认（T+1日）</w:t>
            </w:r>
          </w:p>
        </w:tc>
        <w:tc>
          <w:tcPr>
            <w:tcW w:w="1843"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p>
        </w:tc>
        <w:tc>
          <w:tcPr>
            <w:tcW w:w="1418" w:type="dxa"/>
            <w:vAlign w:val="center"/>
          </w:tcPr>
          <w:p>
            <w:pPr>
              <w:tabs>
                <w:tab w:val="left" w:pos="728"/>
                <w:tab w:val="left" w:pos="1092"/>
              </w:tabs>
              <w:jc w:val="center"/>
              <w:rPr>
                <w:rFonts w:ascii="楷体" w:hAnsi="楷体" w:eastAsia="楷体" w:cs="Calibri"/>
                <w:szCs w:val="21"/>
              </w:rPr>
            </w:pPr>
            <w:r>
              <w:rPr>
                <w:rFonts w:hint="eastAsia" w:ascii="楷体" w:hAnsi="楷体" w:eastAsia="楷体" w:cs="Calibri"/>
                <w:szCs w:val="21"/>
              </w:rPr>
              <w:t>T日</w:t>
            </w:r>
            <w:r>
              <w:rPr>
                <w:rFonts w:hint="eastAsia" w:ascii="楷体" w:hAnsi="楷体" w:eastAsia="楷体" w:cs="Calibri"/>
                <w:szCs w:val="21"/>
                <w:lang w:eastAsia="zh-CN"/>
              </w:rPr>
              <w:t>17:00</w:t>
            </w:r>
            <w:r>
              <w:rPr>
                <w:rFonts w:hint="eastAsia" w:ascii="楷体" w:hAnsi="楷体" w:eastAsia="楷体" w:cs="Calibri"/>
                <w:szCs w:val="21"/>
              </w:rPr>
              <w:t>前</w:t>
            </w:r>
          </w:p>
        </w:tc>
      </w:tr>
    </w:tbl>
    <w:p>
      <w:pPr>
        <w:tabs>
          <w:tab w:val="left" w:pos="728"/>
          <w:tab w:val="left" w:pos="1092"/>
        </w:tabs>
        <w:rPr>
          <w:rFonts w:ascii="楷体" w:hAnsi="楷体" w:eastAsia="楷体" w:cs="Calibri"/>
          <w:szCs w:val="21"/>
        </w:rPr>
      </w:pPr>
      <w:r>
        <w:rPr>
          <w:rFonts w:hint="eastAsia" w:ascii="楷体" w:hAnsi="楷体" w:eastAsia="楷体" w:cs="Calibri"/>
          <w:szCs w:val="21"/>
        </w:rPr>
        <w:t>注：申购申请开始</w:t>
      </w:r>
      <w:r>
        <w:rPr>
          <w:rFonts w:ascii="楷体" w:hAnsi="楷体" w:eastAsia="楷体" w:cs="Calibri"/>
          <w:szCs w:val="21"/>
        </w:rPr>
        <w:t>/截止时间以各销售机构系统设置为准</w:t>
      </w:r>
      <w:r>
        <w:rPr>
          <w:rFonts w:hint="eastAsia" w:ascii="楷体" w:hAnsi="楷体" w:eastAsia="楷体" w:cs="Calibri"/>
          <w:szCs w:val="21"/>
        </w:rPr>
        <w:t>；申购扣款时间以各销售机构实际扣款时间为准；申购撤单截止时间以各销售机构系统设置为准。</w:t>
      </w:r>
    </w:p>
    <w:p>
      <w:pPr>
        <w:tabs>
          <w:tab w:val="left" w:pos="728"/>
          <w:tab w:val="left" w:pos="1092"/>
        </w:tabs>
        <w:ind w:firstLine="480" w:firstLineChars="200"/>
        <w:rPr>
          <w:rFonts w:ascii="楷体" w:hAnsi="楷体" w:eastAsia="楷体" w:cs="Calibri"/>
          <w:sz w:val="24"/>
          <w:szCs w:val="24"/>
        </w:rPr>
      </w:pPr>
      <w:r>
        <w:rPr>
          <w:rFonts w:hint="eastAsia" w:ascii="楷体" w:hAnsi="楷体" w:eastAsia="楷体" w:cs="Calibri"/>
          <w:sz w:val="24"/>
          <w:szCs w:val="24"/>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b/>
          <w:bCs/>
          <w:sz w:val="24"/>
          <w:szCs w:val="24"/>
          <w:u w:val="single"/>
        </w:rPr>
        <w:t>份额确认前投资者已扣划的申购资金属于在途待确认份额状态，苏银理财不计付在途资金从扣款日至份额确认日间的利息。</w:t>
      </w:r>
    </w:p>
    <w:p>
      <w:pPr>
        <w:numPr>
          <w:ilvl w:val="0"/>
          <w:numId w:val="13"/>
        </w:numPr>
        <w:tabs>
          <w:tab w:val="left" w:pos="993"/>
        </w:tabs>
        <w:ind w:left="0" w:firstLine="482" w:firstLineChars="200"/>
        <w:outlineLvl w:val="1"/>
        <w:rPr>
          <w:rFonts w:ascii="楷体" w:hAnsi="楷体" w:eastAsia="楷体" w:cs="Calibri"/>
          <w:b/>
          <w:sz w:val="24"/>
          <w:szCs w:val="24"/>
        </w:rPr>
      </w:pPr>
      <w:r>
        <w:rPr>
          <w:rFonts w:ascii="楷体" w:hAnsi="楷体" w:eastAsia="楷体" w:cs="Calibri"/>
          <w:b/>
          <w:sz w:val="24"/>
          <w:szCs w:val="24"/>
        </w:rPr>
        <w:t>赎回及赎回资金的清算</w:t>
      </w:r>
    </w:p>
    <w:p>
      <w:pPr>
        <w:numPr>
          <w:ilvl w:val="0"/>
          <w:numId w:val="16"/>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赎回期</w:t>
      </w:r>
      <w:r>
        <w:rPr>
          <w:rFonts w:hint="eastAsia" w:ascii="楷体" w:hAnsi="楷体" w:eastAsia="楷体" w:cs="Calibri"/>
          <w:sz w:val="24"/>
          <w:szCs w:val="24"/>
        </w:rPr>
        <w:t>：本产品存续期内，00:00至24:00投资者均可提交赎回申请（系统清算时间除外）。</w:t>
      </w:r>
      <w:r>
        <w:rPr>
          <w:rFonts w:hint="eastAsia" w:ascii="楷体" w:hAnsi="楷体" w:eastAsia="楷体" w:cs="Calibri"/>
          <w:b/>
          <w:sz w:val="24"/>
          <w:szCs w:val="24"/>
          <w:u w:val="single"/>
        </w:rPr>
        <w:t>管理人在开放日对投资者的赎回申请进行确认。</w:t>
      </w:r>
    </w:p>
    <w:p>
      <w:pPr>
        <w:numPr>
          <w:ilvl w:val="0"/>
          <w:numId w:val="16"/>
        </w:numPr>
        <w:tabs>
          <w:tab w:val="left" w:pos="728"/>
          <w:tab w:val="left" w:pos="1092"/>
        </w:tabs>
        <w:ind w:left="0" w:firstLine="482" w:firstLineChars="200"/>
        <w:rPr>
          <w:rFonts w:ascii="楷体" w:hAnsi="楷体" w:eastAsia="楷体" w:cs="Calibri"/>
          <w:b/>
          <w:sz w:val="24"/>
          <w:szCs w:val="24"/>
        </w:rPr>
      </w:pPr>
      <w:r>
        <w:rPr>
          <w:rFonts w:hint="eastAsia" w:ascii="楷体" w:hAnsi="楷体" w:eastAsia="楷体" w:cs="Calibri"/>
          <w:b/>
          <w:sz w:val="24"/>
          <w:szCs w:val="24"/>
        </w:rPr>
        <w:t>赎回原则</w:t>
      </w:r>
    </w:p>
    <w:p>
      <w:pPr>
        <w:numPr>
          <w:ilvl w:val="0"/>
          <w:numId w:val="17"/>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“确定价”原则：投资者赎回本理财产品时，采用“确定价”原则，价格为1元/份。</w:t>
      </w:r>
    </w:p>
    <w:p>
      <w:pPr>
        <w:numPr>
          <w:ilvl w:val="0"/>
          <w:numId w:val="17"/>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“份额赎回”原则：本理财产品赎回以份额申请，赎回金额=赎回份额×产品单位净值。</w:t>
      </w:r>
    </w:p>
    <w:p>
      <w:pPr>
        <w:numPr>
          <w:ilvl w:val="0"/>
          <w:numId w:val="16"/>
        </w:numPr>
        <w:tabs>
          <w:tab w:val="left" w:pos="728"/>
          <w:tab w:val="left" w:pos="1092"/>
        </w:tabs>
        <w:ind w:left="0" w:firstLine="482" w:firstLineChars="200"/>
        <w:rPr>
          <w:rFonts w:ascii="楷体" w:hAnsi="楷体" w:eastAsia="楷体" w:cs="Calibri"/>
          <w:sz w:val="24"/>
          <w:szCs w:val="24"/>
        </w:rPr>
      </w:pPr>
      <w:r>
        <w:rPr>
          <w:rFonts w:hint="eastAsia" w:ascii="楷体" w:hAnsi="楷体" w:eastAsia="楷体" w:cs="Calibri"/>
          <w:b/>
          <w:sz w:val="24"/>
          <w:szCs w:val="24"/>
        </w:rPr>
        <w:t>赎回确认规则</w:t>
      </w:r>
    </w:p>
    <w:p>
      <w:pPr>
        <w:tabs>
          <w:tab w:val="left" w:pos="1092"/>
        </w:tabs>
        <w:ind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A/JS/J/K份额：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val="en-US" w:eastAsia="zh-CN"/>
              </w:rPr>
              <w:t>24</w:t>
            </w:r>
            <w:r>
              <w:rPr>
                <w:rFonts w:hint="eastAsia" w:ascii="楷体" w:hAnsi="楷体" w:eastAsia="楷体" w:cs="Calibri"/>
                <w:szCs w:val="21"/>
                <w:highlight w:val="none"/>
              </w:rPr>
              <w:t>:00前</w:t>
            </w:r>
          </w:p>
        </w:tc>
      </w:tr>
    </w:tbl>
    <w:p>
      <w:pPr>
        <w:numPr>
          <w:ilvl w:val="0"/>
          <w:numId w:val="0"/>
        </w:numPr>
        <w:tabs>
          <w:tab w:val="left" w:pos="1092"/>
        </w:tabs>
        <w:ind w:leftChars="200"/>
        <w:rPr>
          <w:rFonts w:hint="eastAsia" w:eastAsia="楷体"/>
          <w:highlight w:val="none"/>
          <w:lang w:val="en-US" w:eastAsia="zh-CN"/>
        </w:rPr>
      </w:pPr>
      <w:r>
        <w:rPr>
          <w:rFonts w:hint="eastAsia" w:ascii="楷体" w:hAnsi="楷体" w:eastAsia="楷体" w:cs="Calibri"/>
          <w:sz w:val="24"/>
          <w:szCs w:val="24"/>
          <w:highlight w:val="none"/>
          <w:lang w:val="en-US" w:eastAsia="zh-CN"/>
        </w:rPr>
        <w:t>其他份额:</w:t>
      </w:r>
    </w:p>
    <w:tbl>
      <w:tblPr>
        <w:tblStyle w:val="14"/>
        <w:tblpPr w:leftFromText="180" w:rightFromText="180" w:vertAnchor="text" w:horzAnchor="margin" w:tblpY="18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3402"/>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赎回申请时间</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赎回确认方式</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赎回资金最快到账时间</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赎回撤单截止时间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开放日0:</w:t>
            </w:r>
            <w:r>
              <w:rPr>
                <w:rFonts w:ascii="楷体" w:hAnsi="楷体" w:eastAsia="楷体" w:cs="Calibri"/>
                <w:szCs w:val="21"/>
                <w:highlight w:val="none"/>
              </w:rPr>
              <w:t>00-</w:t>
            </w:r>
            <w:r>
              <w:rPr>
                <w:rFonts w:hint="eastAsia" w:ascii="楷体" w:hAnsi="楷体" w:eastAsia="楷体" w:cs="Calibri"/>
                <w:szCs w:val="21"/>
                <w:highlight w:val="none"/>
              </w:rPr>
              <w:t>17:00（不含）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开放日后第1个工作日对赎回申请进行确认（T+1日）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开放日17:00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开放日为T日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视为开放日后第1个工作日的赎回，将于开放日后第2个工作日对赎回申请进行确认（T+2日）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最快T+2日到账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T+1日17:00前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3"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非开放日00:00</w:t>
            </w:r>
            <w:r>
              <w:rPr>
                <w:rFonts w:ascii="楷体" w:hAnsi="楷体" w:eastAsia="楷体" w:cs="Calibri"/>
                <w:szCs w:val="21"/>
                <w:highlight w:val="none"/>
              </w:rPr>
              <w:t>-</w:t>
            </w:r>
            <w:r>
              <w:rPr>
                <w:rFonts w:hint="eastAsia" w:ascii="楷体" w:hAnsi="楷体" w:eastAsia="楷体" w:cs="Calibri"/>
                <w:szCs w:val="21"/>
                <w:highlight w:val="none"/>
              </w:rPr>
              <w:t>24</w:t>
            </w:r>
            <w:r>
              <w:rPr>
                <w:rFonts w:ascii="楷体" w:hAnsi="楷体" w:eastAsia="楷体" w:cs="Calibri"/>
                <w:szCs w:val="21"/>
                <w:highlight w:val="none"/>
              </w:rPr>
              <w:t>:</w:t>
            </w:r>
            <w:r>
              <w:rPr>
                <w:rFonts w:hint="eastAsia" w:ascii="楷体" w:hAnsi="楷体" w:eastAsia="楷体" w:cs="Calibri"/>
                <w:szCs w:val="21"/>
                <w:highlight w:val="none"/>
              </w:rPr>
              <w:t>00（不含）</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非开放日后第1个工作日为T日</w:t>
            </w:r>
          </w:p>
        </w:tc>
        <w:tc>
          <w:tcPr>
            <w:tcW w:w="3402"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视为非开放日后第1个工作日的赎回（T日），将于非开放日后第2个工作日对赎回申请进行确认（T+1日）</w:t>
            </w:r>
          </w:p>
        </w:tc>
        <w:tc>
          <w:tcPr>
            <w:tcW w:w="1701"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最快T+1日到账</w:t>
            </w:r>
          </w:p>
        </w:tc>
        <w:tc>
          <w:tcPr>
            <w:tcW w:w="1418" w:type="dxa"/>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T日17:00前</w:t>
            </w:r>
          </w:p>
        </w:tc>
      </w:tr>
    </w:tbl>
    <w:p>
      <w:pPr>
        <w:tabs>
          <w:tab w:val="left" w:pos="728"/>
          <w:tab w:val="left" w:pos="1092"/>
        </w:tabs>
        <w:ind w:firstLine="420" w:firstLineChars="200"/>
        <w:rPr>
          <w:rFonts w:ascii="楷体" w:hAnsi="楷体" w:eastAsia="楷体" w:cs="Calibri"/>
          <w:szCs w:val="21"/>
        </w:rPr>
      </w:pPr>
      <w:r>
        <w:rPr>
          <w:rFonts w:hint="eastAsia" w:ascii="楷体" w:hAnsi="楷体" w:eastAsia="楷体" w:cs="Calibri"/>
          <w:szCs w:val="21"/>
        </w:rPr>
        <w:t>注：赎回申请开始</w:t>
      </w:r>
      <w:r>
        <w:rPr>
          <w:rFonts w:ascii="楷体" w:hAnsi="楷体" w:eastAsia="楷体" w:cs="Calibri"/>
          <w:szCs w:val="21"/>
        </w:rPr>
        <w:t>/截止时间以各销售机构系统设置为准；</w:t>
      </w:r>
      <w:r>
        <w:rPr>
          <w:rFonts w:hint="eastAsia" w:ascii="楷体" w:hAnsi="楷体" w:eastAsia="楷体" w:cs="Calibri"/>
          <w:szCs w:val="21"/>
        </w:rPr>
        <w:t>赎回资金到账时间以实际入账时间为准；赎回撤单截止时间以各销售机构系统设置为准；</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投资者若触发巨额赎回条款，此时系统有权拒绝投资者的赎回申请。</w:t>
      </w:r>
    </w:p>
    <w:p>
      <w:pPr>
        <w:numPr>
          <w:ilvl w:val="0"/>
          <w:numId w:val="18"/>
        </w:numPr>
        <w:tabs>
          <w:tab w:val="left" w:pos="993"/>
        </w:tabs>
        <w:ind w:firstLine="482" w:firstLineChars="200"/>
        <w:rPr>
          <w:rFonts w:ascii="楷体" w:hAnsi="楷体" w:eastAsia="楷体" w:cs="Calibri"/>
          <w:sz w:val="24"/>
          <w:szCs w:val="24"/>
        </w:rPr>
      </w:pPr>
      <w:r>
        <w:rPr>
          <w:rFonts w:hint="eastAsia" w:ascii="楷体" w:hAnsi="楷体" w:eastAsia="楷体" w:cs="Calibri"/>
          <w:b/>
          <w:sz w:val="24"/>
          <w:szCs w:val="24"/>
        </w:rPr>
        <w:t>快速赎回规则</w:t>
      </w:r>
    </w:p>
    <w:p>
      <w:pPr>
        <w:tabs>
          <w:tab w:val="left" w:pos="993"/>
        </w:tabs>
        <w:ind w:firstLine="482" w:firstLineChars="200"/>
        <w:rPr>
          <w:rFonts w:ascii="楷体" w:hAnsi="楷体" w:eastAsia="楷体" w:cs="Calibri"/>
          <w:b/>
          <w:bCs/>
          <w:sz w:val="24"/>
          <w:szCs w:val="24"/>
          <w:u w:val="single"/>
        </w:rPr>
      </w:pPr>
      <w:r>
        <w:rPr>
          <w:rFonts w:hint="eastAsia" w:ascii="楷体" w:hAnsi="楷体" w:eastAsia="楷体" w:cs="Calibri"/>
          <w:b/>
          <w:bCs/>
          <w:sz w:val="24"/>
          <w:szCs w:val="24"/>
          <w:u w:val="single"/>
        </w:rPr>
        <w:t>本产品销售机构可为投资者提供</w:t>
      </w:r>
      <w:r>
        <w:rPr>
          <w:rFonts w:ascii="楷体" w:hAnsi="楷体" w:eastAsia="楷体" w:cs="Calibri"/>
          <w:b/>
          <w:bCs/>
          <w:sz w:val="24"/>
          <w:szCs w:val="24"/>
          <w:u w:val="single"/>
        </w:rPr>
        <w:t xml:space="preserve"> </w:t>
      </w:r>
      <w:r>
        <w:rPr>
          <w:rFonts w:hint="eastAsia" w:ascii="楷体" w:hAnsi="楷体" w:eastAsia="楷体" w:cs="Calibri"/>
          <w:b/>
          <w:bCs/>
          <w:sz w:val="24"/>
          <w:szCs w:val="24"/>
          <w:u w:val="single"/>
        </w:rPr>
        <w:t>“快速赎回”增值服务，客户可通过销售机构渠道进行快速赎回，如无特殊情况，快速赎回资金将于赎回申请日当日到账。</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highlight w:val="none"/>
        </w:rPr>
        <w:t>“快速赎回”为本理财产品的增值服务，</w:t>
      </w:r>
      <w:r>
        <w:rPr>
          <w:rFonts w:hint="eastAsia" w:ascii="楷体" w:hAnsi="楷体" w:eastAsia="楷体" w:cs="Calibri"/>
          <w:b w:val="0"/>
          <w:sz w:val="24"/>
          <w:szCs w:val="24"/>
          <w:highlight w:val="none"/>
          <w:u w:val="none"/>
          <w:lang w:val="en-US" w:eastAsia="zh-CN"/>
        </w:rPr>
        <w:t>非法定义务，</w:t>
      </w:r>
      <w:r>
        <w:rPr>
          <w:rFonts w:hint="eastAsia" w:ascii="楷体" w:hAnsi="楷体" w:eastAsia="楷体" w:cs="Calibri"/>
          <w:b w:val="0"/>
          <w:sz w:val="24"/>
          <w:szCs w:val="24"/>
          <w:highlight w:val="none"/>
          <w:u w:val="none"/>
        </w:rPr>
        <w:t>是否开通以销售机构设置为准，</w:t>
      </w:r>
      <w:r>
        <w:rPr>
          <w:rFonts w:hint="eastAsia" w:ascii="楷体" w:hAnsi="楷体" w:eastAsia="楷体" w:cs="Calibri"/>
          <w:sz w:val="24"/>
          <w:szCs w:val="24"/>
          <w:highlight w:val="none"/>
        </w:rPr>
        <w:t>具体业务处理原则以销售机构的快速赎回服务协议约定为准。管理人将根据快速赎回服务协议的约定，履行份额快速过户及理财份额收益划付等职责。</w:t>
      </w:r>
      <w:r>
        <w:rPr>
          <w:rFonts w:hint="eastAsia" w:ascii="楷体" w:hAnsi="楷体" w:eastAsia="楷体" w:cs="Calibri"/>
          <w:b w:val="0"/>
          <w:sz w:val="24"/>
          <w:szCs w:val="24"/>
          <w:highlight w:val="none"/>
          <w:u w:val="none"/>
          <w:lang w:val="en-US" w:eastAsia="zh-CN"/>
        </w:rPr>
        <w:t>销售机构因特殊情况</w:t>
      </w:r>
      <w:r>
        <w:rPr>
          <w:rFonts w:hint="eastAsia" w:ascii="楷体" w:hAnsi="楷体" w:eastAsia="楷体" w:cs="Calibri"/>
          <w:b w:val="0"/>
          <w:sz w:val="24"/>
          <w:szCs w:val="24"/>
          <w:highlight w:val="none"/>
          <w:u w:val="none"/>
        </w:rPr>
        <w:t>（包括但不限于专门用于快速赎回业务的账户异常或账户余额不足等）无法继续提供快速赎回服务的</w:t>
      </w:r>
      <w:r>
        <w:rPr>
          <w:rFonts w:hint="eastAsia" w:ascii="楷体" w:hAnsi="楷体" w:eastAsia="楷体" w:cs="Calibri"/>
          <w:b w:val="0"/>
          <w:sz w:val="24"/>
          <w:szCs w:val="24"/>
          <w:highlight w:val="none"/>
          <w:u w:val="none"/>
          <w:lang w:eastAsia="zh-CN"/>
        </w:rPr>
        <w:t>，</w:t>
      </w:r>
      <w:r>
        <w:rPr>
          <w:rFonts w:hint="eastAsia" w:ascii="楷体" w:hAnsi="楷体" w:eastAsia="楷体" w:cs="Calibri"/>
          <w:b w:val="0"/>
          <w:sz w:val="24"/>
          <w:szCs w:val="24"/>
          <w:highlight w:val="none"/>
          <w:u w:val="none"/>
          <w:lang w:val="en-US" w:eastAsia="zh-CN"/>
        </w:rPr>
        <w:t>销售机构有权暂停或终止“快速赎回”业务</w:t>
      </w:r>
      <w:r>
        <w:rPr>
          <w:rFonts w:hint="eastAsia" w:ascii="楷体" w:hAnsi="楷体" w:eastAsia="楷体" w:cs="Calibri"/>
          <w:sz w:val="24"/>
          <w:szCs w:val="24"/>
        </w:rPr>
        <w:t>。</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每</w:t>
      </w:r>
      <w:r>
        <w:rPr>
          <w:rFonts w:hint="eastAsia" w:ascii="楷体" w:hAnsi="楷体" w:eastAsia="楷体" w:cs="Calibri"/>
          <w:sz w:val="24"/>
          <w:szCs w:val="24"/>
          <w:lang w:val="en-US" w:eastAsia="zh-CN"/>
        </w:rPr>
        <w:t>只</w:t>
      </w:r>
      <w:r>
        <w:rPr>
          <w:rFonts w:hint="eastAsia" w:ascii="楷体" w:hAnsi="楷体" w:eastAsia="楷体" w:cs="Calibri"/>
          <w:sz w:val="24"/>
          <w:szCs w:val="24"/>
        </w:rPr>
        <w:t>产品每个自然日</w:t>
      </w:r>
      <w:r>
        <w:rPr>
          <w:rFonts w:hint="eastAsia" w:ascii="楷体" w:hAnsi="楷体" w:eastAsia="楷体" w:cs="Calibri"/>
          <w:sz w:val="24"/>
          <w:szCs w:val="24"/>
          <w:lang w:val="en-US" w:eastAsia="zh-CN"/>
        </w:rPr>
        <w:t>单个销售渠道</w:t>
      </w:r>
      <w:r>
        <w:rPr>
          <w:rFonts w:hint="eastAsia" w:ascii="楷体" w:hAnsi="楷体" w:eastAsia="楷体" w:cs="Calibri"/>
          <w:sz w:val="24"/>
          <w:szCs w:val="24"/>
        </w:rPr>
        <w:t>为客户提供的“快速赎回”限额为1万元。</w:t>
      </w:r>
    </w:p>
    <w:p>
      <w:pPr>
        <w:tabs>
          <w:tab w:val="left" w:pos="993"/>
        </w:tabs>
        <w:ind w:firstLine="482" w:firstLineChars="200"/>
        <w:rPr>
          <w:rFonts w:ascii="楷体" w:hAnsi="楷体" w:eastAsia="楷体" w:cs="Calibri"/>
          <w:b/>
          <w:sz w:val="24"/>
          <w:szCs w:val="24"/>
        </w:rPr>
      </w:pPr>
      <w:r>
        <w:rPr>
          <w:rFonts w:ascii="楷体" w:hAnsi="楷体" w:eastAsia="楷体" w:cs="Calibri"/>
          <w:b/>
          <w:bCs/>
          <w:sz w:val="24"/>
          <w:szCs w:val="24"/>
        </w:rPr>
        <w:t>5.强制赎回费</w:t>
      </w:r>
    </w:p>
    <w:p>
      <w:pPr>
        <w:tabs>
          <w:tab w:val="left" w:pos="993"/>
        </w:tabs>
        <w:ind w:firstLine="480" w:firstLineChars="200"/>
        <w:rPr>
          <w:rFonts w:ascii="楷体" w:hAnsi="楷体" w:eastAsia="楷体" w:cs="Calibri"/>
          <w:sz w:val="24"/>
          <w:szCs w:val="24"/>
        </w:rPr>
      </w:pPr>
      <w:r>
        <w:rPr>
          <w:rFonts w:hint="eastAsia" w:ascii="楷体" w:hAnsi="楷体" w:eastAsia="楷体" w:cs="Calibri"/>
          <w:sz w:val="24"/>
          <w:szCs w:val="24"/>
        </w:rPr>
        <w:t>本理财计划出现以下情形之一时将有权收取强制赎回费：</w:t>
      </w:r>
    </w:p>
    <w:p>
      <w:pPr>
        <w:ind w:left="115" w:right="115" w:rightChars="55" w:firstLine="236" w:firstLineChars="100"/>
        <w:rPr>
          <w:rFonts w:ascii="楷体" w:hAnsi="楷体" w:eastAsia="楷体" w:cs="宋体"/>
          <w:spacing w:val="-2"/>
          <w:sz w:val="24"/>
          <w:szCs w:val="24"/>
        </w:rPr>
      </w:pPr>
      <w:r>
        <w:rPr>
          <w:rFonts w:hint="eastAsia" w:ascii="楷体" w:hAnsi="楷体" w:eastAsia="楷体" w:cs="宋体"/>
          <w:spacing w:val="-2"/>
          <w:sz w:val="24"/>
          <w:szCs w:val="24"/>
        </w:rPr>
        <w:t>（</w:t>
      </w:r>
      <w:r>
        <w:rPr>
          <w:rFonts w:ascii="楷体" w:hAnsi="楷体" w:eastAsia="楷体" w:cs="宋体"/>
          <w:spacing w:val="-2"/>
          <w:sz w:val="24"/>
          <w:szCs w:val="24"/>
        </w:rPr>
        <w:t>1）</w:t>
      </w:r>
      <w:r>
        <w:rPr>
          <w:rFonts w:hint="eastAsia" w:ascii="楷体" w:hAnsi="楷体" w:eastAsia="楷体" w:cs="宋体"/>
          <w:b/>
          <w:spacing w:val="-2"/>
          <w:sz w:val="24"/>
          <w:szCs w:val="24"/>
          <w:u w:val="single"/>
        </w:rPr>
        <w:t>在满足相关流动性风险管理要求的前提下，当本产品持有的现金、国债、中央银行票据、政策性金融债券以及</w:t>
      </w:r>
      <w:r>
        <w:rPr>
          <w:rFonts w:ascii="楷体" w:hAnsi="楷体" w:eastAsia="楷体" w:cs="宋体"/>
          <w:b/>
          <w:spacing w:val="-2"/>
          <w:sz w:val="24"/>
          <w:szCs w:val="24"/>
          <w:u w:val="single"/>
        </w:rPr>
        <w:t>5个交易日内到期的其他金融工具占本产品资产净值的比例合计低于5%且偏离度为负时，管理人有权对当日单个投资者申请赎回份额超过本产品总份额1%以上的赎回申请征收1%的强制赎回费用，并将上述赎回费用全额计入本产品财产。</w:t>
      </w:r>
      <w:r>
        <w:rPr>
          <w:rFonts w:hint="eastAsia" w:ascii="楷体" w:hAnsi="楷体" w:eastAsia="楷体" w:cs="宋体"/>
          <w:spacing w:val="-2"/>
          <w:sz w:val="24"/>
          <w:szCs w:val="24"/>
        </w:rPr>
        <w:t>管理人与托管人协商确认上述做法无益于本产品利益最大化的情形除外。</w:t>
      </w:r>
    </w:p>
    <w:p>
      <w:pPr>
        <w:ind w:left="115" w:right="115" w:rightChars="55" w:firstLine="236" w:firstLineChars="100"/>
        <w:rPr>
          <w:rFonts w:ascii="楷体" w:hAnsi="楷体" w:eastAsia="楷体" w:cs="宋体"/>
          <w:b/>
          <w:spacing w:val="-2"/>
          <w:sz w:val="24"/>
          <w:szCs w:val="24"/>
          <w:u w:val="single"/>
        </w:rPr>
      </w:pPr>
      <w:r>
        <w:rPr>
          <w:rFonts w:hint="eastAsia" w:ascii="楷体" w:hAnsi="楷体" w:eastAsia="楷体" w:cs="宋体"/>
          <w:spacing w:val="-2"/>
          <w:sz w:val="24"/>
          <w:szCs w:val="24"/>
        </w:rPr>
        <w:t>（</w:t>
      </w:r>
      <w:r>
        <w:rPr>
          <w:rFonts w:ascii="楷体" w:hAnsi="楷体" w:eastAsia="楷体" w:cs="宋体"/>
          <w:spacing w:val="-2"/>
          <w:sz w:val="24"/>
          <w:szCs w:val="24"/>
        </w:rPr>
        <w:t>2）本产品前10名投资者的持有份额合计超过本产品总份额50%的，当投资组合中现金、国债、中央银行票据、政策性金融债券以及5个交易日内到期的其他金融工具占本产品资产净值的比例合计低于10%且偏离度为负时，</w:t>
      </w:r>
      <w:r>
        <w:rPr>
          <w:rFonts w:hint="eastAsia" w:ascii="楷体" w:hAnsi="楷体" w:eastAsia="楷体" w:cs="宋体"/>
          <w:b/>
          <w:spacing w:val="-2"/>
          <w:sz w:val="24"/>
          <w:szCs w:val="24"/>
          <w:u w:val="single"/>
        </w:rPr>
        <w:t>管理人有权对投资者超过本产品总份额</w:t>
      </w:r>
      <w:r>
        <w:rPr>
          <w:rFonts w:ascii="楷体" w:hAnsi="楷体" w:eastAsia="楷体" w:cs="宋体"/>
          <w:b/>
          <w:spacing w:val="-2"/>
          <w:sz w:val="24"/>
          <w:szCs w:val="24"/>
          <w:u w:val="single"/>
        </w:rPr>
        <w:t>1%以上的赎回申请征收1%的强制赎回费用。</w:t>
      </w:r>
    </w:p>
    <w:p>
      <w:pPr>
        <w:ind w:right="115" w:rightChars="55" w:firstLine="472" w:firstLineChars="200"/>
        <w:rPr>
          <w:rFonts w:ascii="楷体" w:hAnsi="楷体" w:eastAsia="楷体" w:cs="宋体"/>
          <w:spacing w:val="-2"/>
          <w:sz w:val="24"/>
          <w:szCs w:val="24"/>
        </w:rPr>
      </w:pPr>
      <w:r>
        <w:rPr>
          <w:rFonts w:hint="eastAsia" w:ascii="楷体" w:hAnsi="楷体" w:eastAsia="楷体" w:cs="宋体"/>
          <w:spacing w:val="-2"/>
          <w:sz w:val="24"/>
          <w:szCs w:val="24"/>
        </w:rPr>
        <w:t>法律法规或监管机构另有规定的，从其规定。</w:t>
      </w:r>
    </w:p>
    <w:p>
      <w:pPr>
        <w:numPr>
          <w:ilvl w:val="0"/>
          <w:numId w:val="1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巨额赎回</w:t>
      </w:r>
    </w:p>
    <w:p>
      <w:pPr>
        <w:numPr>
          <w:ilvl w:val="0"/>
          <w:numId w:val="19"/>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巨额赎回的认定</w:t>
      </w:r>
    </w:p>
    <w:p>
      <w:pPr>
        <w:ind w:firstLine="480" w:firstLineChars="200"/>
        <w:rPr>
          <w:rFonts w:ascii="楷体" w:hAnsi="楷体" w:eastAsia="楷体"/>
          <w:sz w:val="24"/>
          <w:szCs w:val="24"/>
        </w:rPr>
      </w:pPr>
      <w:r>
        <w:rPr>
          <w:rFonts w:hint="eastAsia" w:ascii="楷体" w:hAnsi="楷体" w:eastAsia="楷体"/>
          <w:sz w:val="24"/>
          <w:szCs w:val="24"/>
        </w:rPr>
        <w:t>理财产品每个开放日投资者净赎回申请（赎回申请份额总数扣除申购申请份额总数）超过本理财产品上一工作日日终总份额</w:t>
      </w:r>
      <w:r>
        <w:rPr>
          <w:rFonts w:ascii="楷体" w:hAnsi="楷体" w:eastAsia="楷体"/>
          <w:sz w:val="24"/>
          <w:szCs w:val="24"/>
        </w:rPr>
        <w:t>10%时，即认定为发生巨额赎回。</w:t>
      </w:r>
    </w:p>
    <w:p>
      <w:pPr>
        <w:numPr>
          <w:ilvl w:val="0"/>
          <w:numId w:val="19"/>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巨额赎回的处理</w:t>
      </w:r>
    </w:p>
    <w:p>
      <w:pPr>
        <w:ind w:firstLine="480" w:firstLineChars="200"/>
        <w:rPr>
          <w:rStyle w:val="19"/>
        </w:rPr>
      </w:pPr>
      <w:r>
        <w:rPr>
          <w:rFonts w:hint="eastAsia" w:ascii="楷体" w:hAnsi="楷体" w:eastAsia="楷体"/>
          <w:sz w:val="24"/>
          <w:szCs w:val="24"/>
        </w:rPr>
        <w:t>发生巨额赎回时，当日办理的赎回份额不得低于前一日终理财产品总份额的</w:t>
      </w:r>
      <w:r>
        <w:rPr>
          <w:rFonts w:ascii="楷体" w:hAnsi="楷体" w:eastAsia="楷体"/>
          <w:sz w:val="24"/>
          <w:szCs w:val="24"/>
        </w:rPr>
        <w:t>10%，对其余赎回申请管理人有权</w:t>
      </w:r>
      <w:r>
        <w:rPr>
          <w:rFonts w:hint="eastAsia" w:ascii="楷体" w:hAnsi="楷体" w:eastAsia="楷体"/>
          <w:sz w:val="24"/>
          <w:szCs w:val="24"/>
        </w:rPr>
        <w:t>选择全额赎回、部分赎回或延缓支付赎回款项</w:t>
      </w:r>
      <w:r>
        <w:rPr>
          <w:rFonts w:ascii="楷体" w:hAnsi="楷体" w:eastAsia="楷体"/>
          <w:sz w:val="24"/>
          <w:szCs w:val="24"/>
        </w:rPr>
        <w:t>。对该产品单个份额持有人的赎回申请，按照其申请占当日申请赎回总份额的比例，确定该份额持有人当日办理的赎回份额。对于该开放日内净赎回额超过本产品上一工作日日终份额10%时，管理人有权拒绝超过10%以上部分的赎回申请，这可能影响投资者的资金安排。</w:t>
      </w:r>
    </w:p>
    <w:p>
      <w:pPr>
        <w:ind w:firstLine="480" w:firstLineChars="200"/>
        <w:rPr>
          <w:rFonts w:ascii="楷体" w:hAnsi="楷体" w:eastAsia="楷体"/>
          <w:sz w:val="24"/>
          <w:szCs w:val="24"/>
        </w:rPr>
      </w:pPr>
      <w:r>
        <w:rPr>
          <w:rFonts w:hint="eastAsia" w:ascii="楷体" w:hAnsi="楷体" w:eastAsia="楷体"/>
          <w:sz w:val="24"/>
          <w:szCs w:val="24"/>
        </w:rPr>
        <w:t>（1）全额赎回：当产品管理人有能力兑付投资者的全部赎回申请时，将在申请确认日按投资者申请赎回份额执行正常赎回程序。</w:t>
      </w:r>
    </w:p>
    <w:p>
      <w:pPr>
        <w:ind w:firstLine="480" w:firstLineChars="200"/>
        <w:rPr>
          <w:rFonts w:ascii="楷体" w:hAnsi="楷体" w:eastAsia="楷体"/>
          <w:sz w:val="24"/>
          <w:szCs w:val="24"/>
        </w:rPr>
      </w:pPr>
      <w:r>
        <w:rPr>
          <w:rFonts w:hint="eastAsia" w:ascii="楷体" w:hAnsi="楷体" w:eastAsia="楷体"/>
          <w:sz w:val="24"/>
          <w:szCs w:val="24"/>
        </w:rPr>
        <w:t>（2）</w:t>
      </w:r>
      <w:r>
        <w:rPr>
          <w:rFonts w:hint="eastAsia" w:ascii="楷体" w:hAnsi="楷体" w:eastAsia="楷体"/>
          <w:sz w:val="24"/>
          <w:szCs w:val="24"/>
          <w:highlight w:val="none"/>
        </w:rPr>
        <w:t>部分赎回</w:t>
      </w:r>
      <w:r>
        <w:rPr>
          <w:rFonts w:ascii="楷体" w:hAnsi="楷体" w:eastAsia="楷体"/>
          <w:sz w:val="24"/>
          <w:szCs w:val="24"/>
          <w:highlight w:val="none"/>
        </w:rPr>
        <w:t>：</w:t>
      </w:r>
      <w:r>
        <w:rPr>
          <w:rFonts w:hint="eastAsia" w:ascii="楷体" w:hAnsi="楷体" w:eastAsia="楷体"/>
          <w:sz w:val="24"/>
          <w:szCs w:val="24"/>
          <w:highlight w:val="none"/>
        </w:rPr>
        <w:t>当产品管理人认为兑付投资者的赎回申请可能会对产品的资产净值造成较大波动时，当日办理的赎回份额不得低于前一日终理财产品总份额的</w:t>
      </w:r>
      <w:r>
        <w:rPr>
          <w:rFonts w:ascii="楷体" w:hAnsi="楷体" w:eastAsia="楷体"/>
          <w:sz w:val="24"/>
          <w:szCs w:val="24"/>
          <w:highlight w:val="none"/>
        </w:rPr>
        <w:t>10%，对其余赎回申请管理人有权暂停接受或延期办理。</w:t>
      </w:r>
      <w:r>
        <w:rPr>
          <w:rFonts w:hint="eastAsia" w:ascii="楷体" w:hAnsi="楷体" w:eastAsia="楷体"/>
          <w:sz w:val="24"/>
          <w:szCs w:val="24"/>
          <w:highlight w:val="none"/>
        </w:rPr>
        <w:t>若管理人对该部分赎回申请选择延期办理，则管理人有权对赎回开放日内所有投资者的赎回申请，按照单个投资者当日申请赎回份额占当日申请赎回总份额的比例，确定该份额持有人当日办理的赎回份额</w:t>
      </w:r>
      <w:r>
        <w:rPr>
          <w:rFonts w:hint="eastAsia" w:ascii="楷体" w:hAnsi="楷体" w:eastAsia="楷体"/>
          <w:sz w:val="24"/>
          <w:szCs w:val="24"/>
        </w:rPr>
        <w:t>。</w:t>
      </w:r>
    </w:p>
    <w:p>
      <w:pPr>
        <w:ind w:firstLine="480" w:firstLineChars="200"/>
        <w:rPr>
          <w:rFonts w:hint="eastAsia" w:ascii="楷体" w:hAnsi="楷体" w:eastAsia="楷体"/>
          <w:sz w:val="24"/>
          <w:szCs w:val="24"/>
          <w:lang w:eastAsia="zh-CN"/>
        </w:rPr>
      </w:pPr>
      <w:r>
        <w:rPr>
          <w:rFonts w:hint="eastAsia" w:ascii="楷体" w:hAnsi="楷体" w:eastAsia="楷体"/>
          <w:sz w:val="24"/>
          <w:szCs w:val="24"/>
        </w:rPr>
        <w:t>示例：客户当日申请赎回份额5万份，当日全部赎回申请1亿份，假设</w:t>
      </w:r>
      <w:r>
        <w:rPr>
          <w:rFonts w:hint="eastAsia" w:ascii="楷体" w:hAnsi="楷体" w:eastAsia="楷体"/>
          <w:sz w:val="24"/>
          <w:szCs w:val="24"/>
          <w:lang w:val="en-US" w:eastAsia="zh-CN"/>
        </w:rPr>
        <w:t>前一日存续份额5亿份，</w:t>
      </w:r>
      <w:r>
        <w:rPr>
          <w:rFonts w:hint="eastAsia" w:ascii="楷体" w:hAnsi="楷体" w:eastAsia="楷体"/>
          <w:sz w:val="24"/>
          <w:szCs w:val="24"/>
        </w:rPr>
        <w:t>发生巨额赎回，管理人当日办理的赎回份额5000万份，则客户当日确认办理的份额为5/10000*5000=2.5万份</w:t>
      </w:r>
      <w:r>
        <w:rPr>
          <w:rFonts w:hint="eastAsia" w:ascii="楷体" w:hAnsi="楷体" w:eastAsia="楷体"/>
          <w:sz w:val="24"/>
          <w:szCs w:val="24"/>
          <w:lang w:eastAsia="zh-CN"/>
        </w:rPr>
        <w:t>。</w:t>
      </w:r>
    </w:p>
    <w:p>
      <w:pPr>
        <w:ind w:firstLine="480" w:firstLineChars="200"/>
        <w:rPr>
          <w:rFonts w:hint="eastAsia" w:ascii="楷体" w:hAnsi="楷体" w:eastAsia="楷体"/>
          <w:sz w:val="24"/>
          <w:szCs w:val="24"/>
        </w:rPr>
      </w:pPr>
      <w:r>
        <w:rPr>
          <w:rFonts w:hint="eastAsia" w:ascii="楷体" w:hAnsi="楷体" w:eastAsia="楷体"/>
          <w:sz w:val="24"/>
          <w:szCs w:val="24"/>
        </w:rPr>
        <w:t>若管理人对于超过</w:t>
      </w:r>
      <w:r>
        <w:rPr>
          <w:rFonts w:ascii="楷体" w:hAnsi="楷体" w:eastAsia="楷体"/>
          <w:sz w:val="24"/>
          <w:szCs w:val="24"/>
        </w:rPr>
        <w:t>10%以上部分的赎回申请</w:t>
      </w:r>
      <w:r>
        <w:rPr>
          <w:rFonts w:hint="eastAsia" w:ascii="楷体" w:hAnsi="楷体" w:eastAsia="楷体"/>
          <w:sz w:val="24"/>
          <w:szCs w:val="24"/>
        </w:rPr>
        <w:t>选择延期办理，对于未确认受理的赎回申请份额，投资者</w:t>
      </w:r>
      <w:r>
        <w:rPr>
          <w:rFonts w:ascii="楷体" w:hAnsi="楷体" w:eastAsia="楷体"/>
          <w:sz w:val="24"/>
          <w:szCs w:val="24"/>
        </w:rPr>
        <w:t>可</w:t>
      </w:r>
      <w:r>
        <w:rPr>
          <w:rFonts w:hint="eastAsia" w:ascii="楷体" w:hAnsi="楷体" w:eastAsia="楷体"/>
          <w:sz w:val="24"/>
          <w:szCs w:val="24"/>
        </w:rPr>
        <w:t>选择将当日未获受理部分予以撤销，未选择撤销的赎回申请，产品</w:t>
      </w:r>
      <w:r>
        <w:rPr>
          <w:rFonts w:ascii="楷体" w:hAnsi="楷体" w:eastAsia="楷体"/>
          <w:sz w:val="24"/>
          <w:szCs w:val="24"/>
        </w:rPr>
        <w:t>管理人可以</w:t>
      </w:r>
      <w:r>
        <w:rPr>
          <w:rFonts w:hint="eastAsia" w:ascii="楷体" w:hAnsi="楷体" w:eastAsia="楷体"/>
          <w:sz w:val="24"/>
          <w:szCs w:val="24"/>
        </w:rPr>
        <w:t>延迟至下一开放日处理，转入下一开放日的赎回申请不享有优先确认权。</w:t>
      </w:r>
    </w:p>
    <w:p>
      <w:pPr>
        <w:ind w:firstLine="480" w:firstLineChars="200"/>
        <w:rPr>
          <w:rFonts w:ascii="楷体" w:hAnsi="楷体" w:eastAsia="楷体"/>
          <w:sz w:val="24"/>
          <w:szCs w:val="24"/>
        </w:rPr>
      </w:pPr>
      <w:r>
        <w:rPr>
          <w:rFonts w:hint="eastAsia" w:ascii="楷体" w:hAnsi="楷体" w:eastAsia="楷体"/>
          <w:sz w:val="24"/>
          <w:szCs w:val="24"/>
        </w:rPr>
        <w:t>（</w:t>
      </w:r>
      <w:r>
        <w:rPr>
          <w:rFonts w:ascii="楷体" w:hAnsi="楷体" w:eastAsia="楷体"/>
          <w:sz w:val="24"/>
          <w:szCs w:val="24"/>
        </w:rPr>
        <w:t>3</w:t>
      </w:r>
      <w:r>
        <w:rPr>
          <w:rFonts w:hint="eastAsia" w:ascii="楷体" w:hAnsi="楷体" w:eastAsia="楷体"/>
          <w:sz w:val="24"/>
          <w:szCs w:val="24"/>
        </w:rPr>
        <w:t>）延缓支付赎回款项：连续</w:t>
      </w:r>
      <w:r>
        <w:rPr>
          <w:rFonts w:ascii="楷体" w:hAnsi="楷体" w:eastAsia="楷体"/>
          <w:sz w:val="24"/>
          <w:szCs w:val="24"/>
        </w:rPr>
        <w:t>2个以上开放日发生巨额赎回的，管理人有权选择全额赎回或部分赎回等措施外，对于已经接受的赎回申请，管理人可以延缓支付赎回款项，但延缓期限不得超过20个工作日。</w:t>
      </w:r>
    </w:p>
    <w:p>
      <w:pPr>
        <w:numPr>
          <w:ilvl w:val="255"/>
          <w:numId w:val="0"/>
        </w:numPr>
        <w:ind w:firstLine="480" w:firstLineChars="200"/>
        <w:rPr>
          <w:rFonts w:ascii="楷体" w:hAnsi="楷体" w:eastAsia="楷体"/>
          <w:sz w:val="24"/>
          <w:szCs w:val="24"/>
        </w:rPr>
      </w:pPr>
      <w:r>
        <w:rPr>
          <w:rFonts w:hint="eastAsia" w:ascii="楷体" w:hAnsi="楷体" w:eastAsia="楷体"/>
          <w:sz w:val="24"/>
          <w:szCs w:val="24"/>
        </w:rPr>
        <w:t>（4）当发生巨额赎回或连续巨额赎回，管理人选择延期办理巨额赎回申请、暂停接受赎回申请或延缓支付赎回款项时，管理人将根据本理财产品说明书约定的信息披露方式向投资者进行信息披露。</w:t>
      </w:r>
    </w:p>
    <w:p>
      <w:pPr>
        <w:numPr>
          <w:ilvl w:val="0"/>
          <w:numId w:val="1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特殊情形及处理</w:t>
      </w:r>
    </w:p>
    <w:p>
      <w:pPr>
        <w:ind w:firstLine="482" w:firstLineChars="200"/>
        <w:outlineLvl w:val="2"/>
        <w:rPr>
          <w:rFonts w:ascii="楷体" w:hAnsi="楷体" w:eastAsia="楷体"/>
          <w:b/>
          <w:bCs/>
          <w:sz w:val="24"/>
          <w:szCs w:val="24"/>
        </w:rPr>
      </w:pPr>
      <w:r>
        <w:rPr>
          <w:rFonts w:ascii="楷体" w:hAnsi="楷体" w:eastAsia="楷体"/>
          <w:b/>
          <w:bCs/>
          <w:sz w:val="24"/>
          <w:szCs w:val="24"/>
        </w:rPr>
        <w:t>1.</w:t>
      </w:r>
      <w:r>
        <w:rPr>
          <w:rFonts w:hint="eastAsia" w:ascii="楷体" w:hAnsi="楷体" w:eastAsia="楷体"/>
          <w:b/>
          <w:bCs/>
          <w:sz w:val="24"/>
          <w:szCs w:val="24"/>
        </w:rPr>
        <w:t>除以下情形外，管理人不得拒绝接受或暂停接受投资者的申购申请：</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（1）不可抗力的原因导致产品无法正常运作</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（2）超出产品单一投资者持有上限</w:t>
      </w:r>
      <w:r>
        <w:rPr>
          <w:rFonts w:hint="eastAsia" w:ascii="楷体" w:hAnsi="楷体" w:eastAsia="楷体" w:cs="Calibri"/>
          <w:sz w:val="24"/>
          <w:szCs w:val="24"/>
          <w:lang w:eastAsia="zh-CN"/>
        </w:rPr>
        <w:t>。</w:t>
      </w:r>
    </w:p>
    <w:p>
      <w:pPr>
        <w:keepNext w:val="0"/>
        <w:keepLines w:val="0"/>
        <w:pageBreakBefore w:val="0"/>
        <w:widowControl w:val="0"/>
        <w:numPr>
          <w:ilvl w:val="255"/>
          <w:numId w:val="0"/>
        </w:numPr>
        <w:tabs>
          <w:tab w:val="left" w:pos="728"/>
        </w:tabs>
        <w:kinsoku/>
        <w:wordWrap/>
        <w:overflowPunct/>
        <w:topLinePunct w:val="0"/>
        <w:autoSpaceDE/>
        <w:autoSpaceDN/>
        <w:bidi w:val="0"/>
        <w:adjustRightInd/>
        <w:snapToGrid/>
        <w:ind w:left="0" w:leftChars="0" w:firstLine="480" w:firstLineChars="200"/>
        <w:textAlignment w:val="auto"/>
        <w:rPr>
          <w:rFonts w:hint="eastAsia" w:ascii="楷体" w:hAnsi="楷体" w:eastAsia="楷体" w:cs="Calibri"/>
          <w:sz w:val="24"/>
          <w:szCs w:val="24"/>
          <w:lang w:eastAsia="zh-CN"/>
        </w:rPr>
      </w:pPr>
      <w:r>
        <w:rPr>
          <w:rFonts w:hint="eastAsia" w:ascii="楷体" w:hAnsi="楷体" w:eastAsia="楷体" w:cs="Calibri"/>
          <w:sz w:val="24"/>
          <w:szCs w:val="24"/>
        </w:rPr>
        <w:t>（3）超过产品规模上限</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（5）管理人接受某笔或者某些申购申请有可能导致单一投资者持有理财计划份额的比例达到或者超过50%的情形。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（6）当接受某笔或某些申购申请可能对存量理财计划份额持有人利益构成潜在重大不利影响时。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（7）当前一估值日产品资产净值50%以上的资产不具备活跃交易市场或者在活跃市场中无报价，且不能采用估值技术可靠计量公允价值的，管理人经与托管人协商确认后，决定暂停接受理财产品申购申请的。</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（8）法律、法规规定认定的其他情形。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outlineLvl w:val="2"/>
        <w:rPr>
          <w:rFonts w:ascii="楷体" w:hAnsi="楷体" w:eastAsia="楷体"/>
          <w:b/>
          <w:bCs/>
          <w:sz w:val="24"/>
          <w:szCs w:val="24"/>
        </w:rPr>
      </w:pPr>
      <w:r>
        <w:rPr>
          <w:rFonts w:ascii="楷体" w:hAnsi="楷体" w:eastAsia="楷体"/>
          <w:b/>
          <w:bCs/>
          <w:sz w:val="24"/>
          <w:szCs w:val="24"/>
        </w:rPr>
        <w:t>2.</w:t>
      </w:r>
      <w:r>
        <w:rPr>
          <w:rFonts w:hint="eastAsia" w:ascii="楷体" w:hAnsi="楷体" w:eastAsia="楷体"/>
          <w:b/>
          <w:bCs/>
          <w:sz w:val="24"/>
          <w:szCs w:val="24"/>
        </w:rPr>
        <w:t>除以下情形外，管理人不得暂停接受投资者的赎回申请或延缓支付赎回款项：</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（1）不可抗力的原因导致管理人不能支付赎回款项</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hint="eastAsia" w:ascii="楷体" w:hAnsi="楷体" w:eastAsia="楷体" w:cs="Calibri"/>
          <w:sz w:val="24"/>
          <w:szCs w:val="24"/>
          <w:lang w:eastAsia="zh-CN"/>
        </w:rPr>
      </w:pPr>
      <w:r>
        <w:rPr>
          <w:rFonts w:hint="eastAsia" w:ascii="楷体" w:hAnsi="楷体" w:eastAsia="楷体" w:cs="Calibri"/>
          <w:sz w:val="24"/>
          <w:szCs w:val="24"/>
        </w:rPr>
        <w:t>（2）触发巨额赎回条款</w:t>
      </w:r>
      <w:r>
        <w:rPr>
          <w:rFonts w:hint="eastAsia" w:ascii="楷体" w:hAnsi="楷体" w:eastAsia="楷体" w:cs="Calibri"/>
          <w:sz w:val="24"/>
          <w:szCs w:val="24"/>
          <w:lang w:eastAsia="zh-CN"/>
        </w:rPr>
        <w:t>。</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（3）发生《理财产品说明书》约定的暂停估值的情形。（详见十二、产品估值）</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（4）当接受某笔或某些赎回申请可能对存量理财计划份额持有人利益构成潜在重大不利影响时。</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（5）发生单个投资者单个开放日申请赎回理财计划份额超过理财产品总份额10%的情形。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（6）法律、法规规定认定的其他情形。</w:t>
      </w:r>
    </w:p>
    <w:p>
      <w:pPr>
        <w:numPr>
          <w:ilvl w:val="255"/>
          <w:numId w:val="0"/>
        </w:numPr>
        <w:tabs>
          <w:tab w:val="left" w:pos="728"/>
        </w:tabs>
        <w:ind w:firstLine="480" w:firstLineChars="200"/>
        <w:rPr>
          <w:rFonts w:ascii="楷体" w:hAnsi="楷体" w:eastAsia="楷体" w:cs="Calibri"/>
          <w:sz w:val="24"/>
          <w:szCs w:val="24"/>
        </w:rPr>
      </w:pPr>
      <w:r>
        <w:rPr>
          <w:rFonts w:hint="eastAsia" w:ascii="楷体" w:hAnsi="楷体" w:eastAsia="楷体" w:cs="Calibri"/>
          <w:sz w:val="24"/>
          <w:szCs w:val="24"/>
        </w:rPr>
        <w:t>若管理人决定</w:t>
      </w:r>
      <w:r>
        <w:rPr>
          <w:rFonts w:hint="eastAsia" w:ascii="楷体" w:hAnsi="楷体" w:eastAsia="楷体"/>
          <w:sz w:val="24"/>
          <w:szCs w:val="24"/>
        </w:rPr>
        <w:t>暂停接受投资者的赎回申请或延缓支付赎回款项</w:t>
      </w:r>
      <w:r>
        <w:rPr>
          <w:rFonts w:hint="eastAsia" w:ascii="楷体" w:hAnsi="楷体" w:eastAsia="楷体" w:cs="Calibri"/>
          <w:sz w:val="24"/>
          <w:szCs w:val="24"/>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rPr>
        <w:t>暂停接受投资者的赎回申请或延缓支付赎回款项的情况消除后</w:t>
      </w:r>
      <w:r>
        <w:rPr>
          <w:rFonts w:hint="eastAsia" w:ascii="楷体" w:hAnsi="楷体" w:eastAsia="楷体" w:cs="Calibri"/>
          <w:sz w:val="24"/>
          <w:szCs w:val="24"/>
        </w:rPr>
        <w:t>，管理人将及时恢复申购业务的办理。</w:t>
      </w:r>
    </w:p>
    <w:p>
      <w:pPr>
        <w:numPr>
          <w:ilvl w:val="255"/>
          <w:numId w:val="0"/>
        </w:numPr>
        <w:tabs>
          <w:tab w:val="left" w:pos="728"/>
        </w:tabs>
        <w:ind w:firstLine="480" w:firstLineChars="200"/>
        <w:rPr>
          <w:rFonts w:ascii="楷体" w:hAnsi="楷体" w:eastAsia="楷体" w:cs="Calibri"/>
          <w:sz w:val="24"/>
          <w:szCs w:val="24"/>
          <w:highlight w:val="yellow"/>
        </w:rPr>
      </w:pPr>
    </w:p>
    <w:p>
      <w:pPr>
        <w:tabs>
          <w:tab w:val="left" w:pos="1134"/>
        </w:tabs>
        <w:ind w:left="420" w:leftChars="200"/>
        <w:outlineLvl w:val="0"/>
        <w:rPr>
          <w:rFonts w:ascii="楷体" w:hAnsi="楷体" w:eastAsia="楷体"/>
          <w:b/>
          <w:sz w:val="28"/>
          <w:szCs w:val="28"/>
        </w:rPr>
      </w:pPr>
      <w:r>
        <w:rPr>
          <w:rFonts w:hint="eastAsia" w:ascii="楷体" w:hAnsi="楷体" w:eastAsia="楷体"/>
          <w:b/>
          <w:sz w:val="28"/>
          <w:szCs w:val="28"/>
        </w:rPr>
        <w:t>十、收益分配</w:t>
      </w:r>
    </w:p>
    <w:p>
      <w:pPr>
        <w:ind w:firstLine="482" w:firstLineChars="200"/>
        <w:rPr>
          <w:rFonts w:ascii="楷体" w:hAnsi="楷体" w:eastAsia="楷体"/>
          <w:b/>
          <w:sz w:val="24"/>
          <w:szCs w:val="24"/>
          <w:u w:val="single"/>
        </w:rPr>
      </w:pPr>
      <w:r>
        <w:rPr>
          <w:rFonts w:hint="eastAsia" w:ascii="楷体" w:hAnsi="楷体" w:eastAsia="楷体"/>
          <w:b/>
          <w:sz w:val="24"/>
          <w:szCs w:val="24"/>
          <w:u w:val="single"/>
        </w:rPr>
        <w:t>投资者持有本理财产品期间及到期时，管理人不承诺保证投资本金安全且不保证理财收益，投资者收益（如有）随理财产品的投资盈亏水平浮动。</w:t>
      </w:r>
    </w:p>
    <w:p>
      <w:pPr>
        <w:ind w:firstLine="480" w:firstLineChars="200"/>
        <w:rPr>
          <w:rFonts w:ascii="楷体" w:hAnsi="楷体" w:eastAsia="楷体"/>
          <w:sz w:val="24"/>
          <w:szCs w:val="24"/>
        </w:rPr>
      </w:pPr>
      <w:r>
        <w:rPr>
          <w:rFonts w:hint="eastAsia" w:ascii="楷体" w:hAnsi="楷体" w:eastAsia="楷体"/>
          <w:sz w:val="24"/>
          <w:szCs w:val="24"/>
        </w:rPr>
        <w:t>本理财产品根据每日收益情况，以理财产品实际收益为基准，每日为投资者计提当日理财收益，每日结转为份额，投资者继续持有的红利份额可参与后续理财产品投资收益分配。</w:t>
      </w:r>
    </w:p>
    <w:p>
      <w:pPr>
        <w:numPr>
          <w:ilvl w:val="0"/>
          <w:numId w:val="2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每万份收益</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每个估值日管理人将每日投资收益扣除固定费用（包括托管费、销售费、投资管理费）、运作产品所必须缴纳的税费、业绩报酬（如有）后的盈余部分作为投资红利分配给投资者。</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单个投资者应分配红利=单个投资者当日存量份额/投资者所属份额当日存量份额总数×投资者所属份额当日投资收益，</w:t>
      </w:r>
      <w:r>
        <w:rPr>
          <w:rFonts w:hint="eastAsia" w:ascii="楷体" w:hAnsi="楷体" w:eastAsia="楷体" w:cs="Calibri"/>
          <w:sz w:val="24"/>
          <w:szCs w:val="24"/>
          <w:lang w:val="en-US" w:eastAsia="zh-CN"/>
        </w:rPr>
        <w:t>采用截位法</w:t>
      </w:r>
      <w:r>
        <w:rPr>
          <w:rFonts w:hint="eastAsia" w:ascii="楷体" w:hAnsi="楷体" w:eastAsia="楷体" w:cs="Calibri"/>
          <w:sz w:val="24"/>
          <w:szCs w:val="24"/>
        </w:rPr>
        <w:t>保留至小数点后2位。</w:t>
      </w:r>
      <w:r>
        <w:rPr>
          <w:rFonts w:hint="eastAsia" w:ascii="楷体" w:hAnsi="楷体" w:eastAsia="楷体" w:cs="Calibri"/>
          <w:b/>
          <w:bCs/>
          <w:sz w:val="24"/>
          <w:szCs w:val="24"/>
          <w:u w:val="single"/>
        </w:rPr>
        <w:t>单个投资者当日存量份额较低时，投资者持有份额可能无法获得红利。</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每万份收益=投资者所属份额当日投资收益/投资者所属份额当日存量份额总数×10000，采用截位法保留至小数点后第4位。</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产品管理人每个工作日公布上一日每万份收益。</w:t>
      </w:r>
    </w:p>
    <w:p>
      <w:pPr>
        <w:numPr>
          <w:ilvl w:val="0"/>
          <w:numId w:val="2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理财产品每万份收益仅供投资者购买时参考，并不代表本产品实际收益或未来的表现，也不构成管理人对本产品收益的任何承诺或保证，产品收益以管理人实际支付为准。</w:t>
      </w:r>
    </w:p>
    <w:p>
      <w:pPr>
        <w:numPr>
          <w:ilvl w:val="0"/>
          <w:numId w:val="2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七日年化收益率</w:t>
      </w:r>
    </w:p>
    <w:p>
      <w:pPr>
        <w:ind w:firstLine="420" w:firstLineChars="200"/>
        <w:rPr>
          <w:rFonts w:ascii="楷体" w:hAnsi="楷体" w:eastAsia="楷体"/>
          <w:sz w:val="24"/>
          <w:szCs w:val="24"/>
        </w:rPr>
      </w:pPr>
      <w:r>
        <w:rPr>
          <w:rFonts w:hint="eastAsia" w:ascii="楷体" w:hAnsi="楷体" w:eastAsia="楷体"/>
          <w:position w:val="-23"/>
        </w:rPr>
        <w:drawing>
          <wp:inline distT="0" distB="0" distL="0" distR="0">
            <wp:extent cx="3343275" cy="400050"/>
            <wp:effectExtent l="0" t="0" r="952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3343275" cy="400050"/>
                    </a:xfrm>
                    <a:prstGeom prst="rect">
                      <a:avLst/>
                    </a:prstGeom>
                    <a:noFill/>
                    <a:ln>
                      <a:noFill/>
                    </a:ln>
                  </pic:spPr>
                </pic:pic>
              </a:graphicData>
            </a:graphic>
          </wp:inline>
        </w:drawing>
      </w:r>
    </w:p>
    <w:p>
      <w:pPr>
        <w:ind w:firstLine="480" w:firstLineChars="200"/>
        <w:rPr>
          <w:rFonts w:ascii="楷体" w:hAnsi="楷体" w:eastAsia="楷体" w:cs="Calibri"/>
          <w:sz w:val="24"/>
          <w:szCs w:val="24"/>
        </w:rPr>
      </w:pPr>
      <w:r>
        <w:rPr>
          <w:rFonts w:hint="eastAsia" w:ascii="楷体" w:hAnsi="楷体" w:eastAsia="楷体" w:cs="Calibri"/>
          <w:sz w:val="24"/>
          <w:szCs w:val="24"/>
        </w:rPr>
        <w:t>其中，R</w:t>
      </w:r>
      <w:r>
        <w:rPr>
          <w:rFonts w:hint="eastAsia" w:ascii="楷体" w:hAnsi="楷体" w:eastAsia="楷体" w:cs="Calibri"/>
          <w:sz w:val="24"/>
          <w:szCs w:val="24"/>
          <w:vertAlign w:val="subscript"/>
        </w:rPr>
        <w:t>i</w:t>
      </w:r>
      <w:r>
        <w:rPr>
          <w:rFonts w:hint="eastAsia" w:ascii="楷体" w:hAnsi="楷体" w:eastAsia="楷体" w:cs="Calibri"/>
          <w:sz w:val="24"/>
          <w:szCs w:val="24"/>
        </w:rPr>
        <w:t>为最近每万份理财产品收益。7日年化收益率用四舍五入保留至百分号内小数点后第2位。</w:t>
      </w:r>
    </w:p>
    <w:p>
      <w:pPr>
        <w:ind w:firstLine="480" w:firstLineChars="200"/>
        <w:rPr>
          <w:rFonts w:ascii="楷体" w:hAnsi="楷体" w:eastAsia="楷体"/>
          <w:sz w:val="24"/>
          <w:szCs w:val="24"/>
        </w:rPr>
      </w:pPr>
      <w:r>
        <w:rPr>
          <w:rFonts w:hint="eastAsia" w:ascii="楷体" w:hAnsi="楷体" w:eastAsia="楷体" w:cs="Calibri"/>
          <w:sz w:val="24"/>
          <w:szCs w:val="24"/>
        </w:rPr>
        <w:t>产品</w:t>
      </w:r>
      <w:r>
        <w:rPr>
          <w:rFonts w:hint="eastAsia" w:ascii="楷体" w:hAnsi="楷体" w:eastAsia="楷体"/>
          <w:sz w:val="24"/>
          <w:szCs w:val="24"/>
        </w:rPr>
        <w:t>每个工作日公布最近7日（含节假日）收益率所折算的产品七日年化收益率。</w:t>
      </w:r>
    </w:p>
    <w:p>
      <w:pPr>
        <w:ind w:firstLine="480" w:firstLineChars="200"/>
        <w:rPr>
          <w:rFonts w:ascii="楷体" w:hAnsi="楷体" w:eastAsia="楷体" w:cs="Calibri"/>
          <w:sz w:val="24"/>
          <w:szCs w:val="24"/>
        </w:rPr>
      </w:pPr>
      <w:r>
        <w:rPr>
          <w:rFonts w:hint="eastAsia" w:ascii="楷体" w:hAnsi="楷体" w:eastAsia="楷体" w:cs="Calibri"/>
          <w:sz w:val="24"/>
          <w:szCs w:val="24"/>
        </w:rPr>
        <w:t>理财产品七日年化收益率仅供投资者购买时参考，并不代表本产品实际收益或未来的表现，也不构成管理人对本产品收益的任何承诺或保证，产品收益以管理人实际支付为准。</w:t>
      </w:r>
    </w:p>
    <w:p>
      <w:pPr>
        <w:numPr>
          <w:ilvl w:val="0"/>
          <w:numId w:val="20"/>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收益分配时间</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本产品当日投资收益大于零，管理人于下一工作日系统日启后将前一工作日（含两个工作日间的节假日）投资者应分配红利分配给投资者，红利分配方式为红利再投。投资者可于红利到账日的当日申请赎回分配的红利份额，若投资者继续持有分配的红利份额，分配的红利份额将参与后续理财产品投资收益分配。</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若当日净收益等于零，则投资者理财产品份额不变。</w:t>
      </w:r>
    </w:p>
    <w:p>
      <w:pPr>
        <w:numPr>
          <w:ilvl w:val="0"/>
          <w:numId w:val="22"/>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若当日净收益小于零，则等比缩减投资者持有的理财产品份额，投资者将出现投资损失。</w:t>
      </w:r>
    </w:p>
    <w:p>
      <w:p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十一、产品费用</w:t>
      </w:r>
    </w:p>
    <w:p>
      <w:pPr>
        <w:numPr>
          <w:ilvl w:val="0"/>
          <w:numId w:val="2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费用种类</w:t>
      </w:r>
    </w:p>
    <w:p>
      <w:pPr>
        <w:ind w:firstLine="480" w:firstLineChars="200"/>
        <w:rPr>
          <w:rFonts w:ascii="楷体" w:hAnsi="楷体" w:eastAsia="楷体"/>
          <w:sz w:val="24"/>
          <w:szCs w:val="24"/>
        </w:rPr>
      </w:pPr>
      <w:r>
        <w:rPr>
          <w:rFonts w:hint="eastAsia" w:ascii="楷体" w:hAnsi="楷体" w:eastAsia="楷体"/>
          <w:sz w:val="24"/>
          <w:szCs w:val="24"/>
        </w:rPr>
        <w:t>本产品费用包括托管费、销售服务费、投资管理费以及产品运作和清算中产生的其他费用等。</w:t>
      </w:r>
    </w:p>
    <w:p>
      <w:pPr>
        <w:numPr>
          <w:ilvl w:val="0"/>
          <w:numId w:val="23"/>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计提方法、计提标准和支付方式</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每日应计提的托管费＝</w:t>
      </w:r>
      <w:r>
        <w:rPr>
          <w:rFonts w:hint="eastAsia" w:ascii="楷体" w:hAnsi="楷体" w:eastAsia="楷体"/>
          <w:sz w:val="24"/>
          <w:szCs w:val="24"/>
          <w:highlight w:val="none"/>
          <w:lang w:val="en-US" w:eastAsia="zh-CN"/>
        </w:rPr>
        <w:t>当日理财产品份额</w:t>
      </w:r>
      <w:r>
        <w:rPr>
          <w:rFonts w:hint="eastAsia" w:ascii="楷体" w:hAnsi="楷体" w:eastAsia="楷体"/>
          <w:sz w:val="24"/>
          <w:szCs w:val="24"/>
          <w:highlight w:val="none"/>
        </w:rPr>
        <w:t>×</w:t>
      </w:r>
      <w:r>
        <w:rPr>
          <w:rFonts w:hint="eastAsia" w:ascii="楷体" w:hAnsi="楷体" w:eastAsia="楷体"/>
          <w:sz w:val="24"/>
          <w:szCs w:val="24"/>
          <w:highlight w:val="none"/>
          <w:lang w:val="en-US" w:eastAsia="zh-CN"/>
        </w:rPr>
        <w:t>托管费率</w:t>
      </w:r>
      <w:r>
        <w:rPr>
          <w:rFonts w:hint="eastAsia" w:ascii="楷体" w:hAnsi="楷体" w:eastAsia="楷体"/>
          <w:sz w:val="24"/>
          <w:szCs w:val="24"/>
          <w:highlight w:val="none"/>
        </w:rPr>
        <w:t>÷</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每日应计提的销售服务费＝∑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w:t>
      </w:r>
      <w:r>
        <w:rPr>
          <w:rFonts w:hint="eastAsia" w:ascii="楷体" w:hAnsi="楷体" w:eastAsia="楷体" w:cs="Calibri"/>
          <w:sz w:val="24"/>
          <w:szCs w:val="24"/>
          <w:highlight w:val="none"/>
          <w:lang w:val="en-US" w:eastAsia="zh-CN"/>
        </w:rPr>
        <w:t>按月</w:t>
      </w:r>
      <w:r>
        <w:rPr>
          <w:rFonts w:hint="eastAsia" w:ascii="楷体" w:hAnsi="楷体" w:eastAsia="楷体" w:cs="Calibri"/>
          <w:sz w:val="24"/>
          <w:szCs w:val="24"/>
          <w:highlight w:val="none"/>
        </w:rPr>
        <w:t>支付，由管理人收取。计算方法如下：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每日应计提的投资管理费＝∑</w:t>
      </w:r>
      <w:r>
        <w:rPr>
          <w:rFonts w:hint="eastAsia" w:ascii="楷体" w:hAnsi="楷体" w:eastAsia="楷体"/>
          <w:sz w:val="24"/>
          <w:szCs w:val="24"/>
          <w:highlight w:val="none"/>
          <w:lang w:val="en-US" w:eastAsia="zh-CN"/>
        </w:rPr>
        <w:t>当日各理财产品份额</w:t>
      </w:r>
      <w:r>
        <w:rPr>
          <w:rFonts w:hint="eastAsia" w:ascii="楷体" w:hAnsi="楷体" w:eastAsia="楷体"/>
          <w:sz w:val="24"/>
          <w:szCs w:val="24"/>
          <w:highlight w:val="none"/>
        </w:rPr>
        <w:t>×各份额投资管理费率÷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24"/>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rPr>
      </w:pPr>
      <w:r>
        <w:rPr>
          <w:rFonts w:hint="eastAsia" w:ascii="楷体" w:hAnsi="楷体" w:eastAsia="楷体"/>
          <w:sz w:val="24"/>
          <w:szCs w:val="24"/>
        </w:rPr>
        <w:t>产品管理人有权根据市场情况等调整</w:t>
      </w:r>
      <w:r>
        <w:rPr>
          <w:rFonts w:hint="eastAsia" w:ascii="楷体" w:hAnsi="楷体" w:eastAsia="楷体"/>
          <w:sz w:val="24"/>
          <w:szCs w:val="24"/>
          <w:lang w:eastAsia="zh-CN"/>
        </w:rPr>
        <w:t>上述各项费用费率收取方式及比例</w:t>
      </w:r>
      <w:r>
        <w:rPr>
          <w:rFonts w:hint="eastAsia" w:ascii="楷体" w:hAnsi="楷体" w:eastAsia="楷体"/>
          <w:sz w:val="24"/>
          <w:szCs w:val="24"/>
        </w:rPr>
        <w:t>，并至少于调整日之前2个工作日进行公告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。如投资者不接受的，可在公告约定的期限内赎回本产品，此种情况下产品管理人将可能开放赎回</w:t>
      </w:r>
      <w:r>
        <w:rPr>
          <w:rFonts w:hint="eastAsia" w:ascii="楷体" w:hAnsi="楷体" w:eastAsia="楷体"/>
          <w:sz w:val="24"/>
          <w:szCs w:val="24"/>
          <w:lang w:eastAsia="zh-CN"/>
        </w:rPr>
        <w:t>，</w:t>
      </w:r>
      <w:r>
        <w:rPr>
          <w:rFonts w:hint="eastAsia" w:ascii="楷体" w:hAnsi="楷体" w:eastAsia="楷体"/>
          <w:sz w:val="24"/>
          <w:szCs w:val="24"/>
        </w:rPr>
        <w:t>具体以届时产品管理人公告为准；如投资者未赎回本产品，则视为本理财产品投资者接受相关调整且同意在调整后继续持有本理财产品。本产品不收取认购费用、申购费用、赎回费用。</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十二、产品估值</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估值对象</w:t>
      </w:r>
    </w:p>
    <w:p>
      <w:pPr>
        <w:ind w:firstLine="480" w:firstLineChars="200"/>
        <w:rPr>
          <w:rFonts w:ascii="楷体" w:hAnsi="楷体" w:eastAsia="楷体"/>
          <w:sz w:val="24"/>
          <w:szCs w:val="24"/>
        </w:rPr>
      </w:pPr>
      <w:r>
        <w:rPr>
          <w:rFonts w:hint="eastAsia" w:ascii="楷体" w:hAnsi="楷体" w:eastAsia="楷体"/>
          <w:sz w:val="24"/>
          <w:szCs w:val="24"/>
        </w:rPr>
        <w:t>本产品所拥有的各类证券、银行存款、应收款项及其它资产和负债。</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估值要求</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本产品资产估值的目的是客观、准确的反映资产净值，确定理财产品资产净值，并为理财产品的收益分配提供计价依据。</w:t>
      </w:r>
    </w:p>
    <w:p>
      <w:pPr>
        <w:numPr>
          <w:ilvl w:val="0"/>
          <w:numId w:val="2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本产品每万份收益随投资收益变化，本理财产品存续期内，管理人于每个理财产品工作日计算理财产品每万份收益，并于该工作日后第一个工作日通过信息披露约定的渠道发布理财产品份额收益率，理财产品每万份收益采用截位法保留至小数点后第4位。</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估值方法</w:t>
      </w:r>
    </w:p>
    <w:p>
      <w:pPr>
        <w:ind w:firstLine="480" w:firstLineChars="200"/>
        <w:rPr>
          <w:rFonts w:ascii="楷体" w:hAnsi="楷体" w:eastAsia="楷体" w:cs="Calibri"/>
          <w:sz w:val="24"/>
          <w:szCs w:val="24"/>
        </w:rPr>
      </w:pPr>
      <w:r>
        <w:rPr>
          <w:rFonts w:ascii="楷体" w:hAnsi="楷体" w:eastAsia="楷体" w:cs="Calibri"/>
          <w:sz w:val="24"/>
          <w:szCs w:val="24"/>
        </w:rPr>
        <w:t>本理财产品估值采用摊余成本法，即计价对象以买入成本列示，按实际利率并考虑其买入时的溢价与折价，在其剩余存续期内摊销，每日计提损益。</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债券等资产采用溢折价摊销后的成本列示，按票面利率计提应收利息。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债券回购以成本列示，按协议利率在实际持有期间内逐日计提利息。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3.</w:t>
      </w:r>
      <w:r>
        <w:rPr>
          <w:rFonts w:ascii="楷体" w:hAnsi="楷体" w:eastAsia="楷体" w:cs="Calibri"/>
          <w:sz w:val="24"/>
          <w:szCs w:val="24"/>
        </w:rPr>
        <w:t>银行存款以本金列示，按银行适用利率逐日计提利息。</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4.</w:t>
      </w:r>
      <w:r>
        <w:rPr>
          <w:rFonts w:ascii="楷体" w:hAnsi="楷体" w:eastAsia="楷体" w:cs="Calibri"/>
          <w:sz w:val="24"/>
          <w:szCs w:val="24"/>
        </w:rPr>
        <w:t>货币市场基金以估值截止时点能够取得的最新每万份收益进行估值。</w:t>
      </w:r>
      <w:r>
        <w:rPr>
          <w:rFonts w:hint="eastAsia" w:ascii="楷体" w:hAnsi="楷体" w:eastAsia="楷体" w:cs="Calibri"/>
          <w:sz w:val="24"/>
          <w:szCs w:val="24"/>
        </w:rPr>
        <w:br w:type="textWrapping"/>
      </w:r>
      <w:r>
        <w:rPr>
          <w:rFonts w:ascii="楷体" w:hAnsi="楷体" w:eastAsia="楷体" w:cs="Calibri"/>
          <w:sz w:val="24"/>
          <w:szCs w:val="24"/>
        </w:rPr>
        <w:t xml:space="preserve">    </w:t>
      </w:r>
      <w:r>
        <w:rPr>
          <w:rFonts w:hint="eastAsia" w:ascii="楷体" w:hAnsi="楷体" w:eastAsia="楷体" w:cs="Calibri"/>
          <w:sz w:val="24"/>
          <w:szCs w:val="24"/>
        </w:rPr>
        <w:t>5.</w:t>
      </w:r>
      <w:r>
        <w:rPr>
          <w:rFonts w:ascii="楷体" w:hAnsi="楷体" w:eastAsia="楷体" w:cs="Calibri"/>
          <w:sz w:val="24"/>
          <w:szCs w:val="24"/>
        </w:rPr>
        <w:t>投资于信托计划、资产管理计划、基金等的资产：</w:t>
      </w:r>
    </w:p>
    <w:p>
      <w:pPr>
        <w:ind w:firstLine="480" w:firstLineChars="20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按合同约定的估值方案，以信托计划的受托人、资产管理计划或基金的管理人等和资产托管人共同确认的净值或投资收益情况进行估值。</w:t>
      </w:r>
      <w:r>
        <w:rPr>
          <w:rFonts w:hint="eastAsia" w:ascii="楷体" w:hAnsi="楷体" w:eastAsia="楷体" w:cs="Calibri"/>
          <w:sz w:val="24"/>
          <w:szCs w:val="24"/>
        </w:rPr>
        <w:br w:type="textWrapping"/>
      </w:r>
      <w:r>
        <w:rPr>
          <w:rFonts w:hint="eastAsia" w:ascii="楷体" w:hAnsi="楷体" w:eastAsia="楷体" w:cs="Calibri"/>
          <w:sz w:val="24"/>
          <w:szCs w:val="24"/>
        </w:rPr>
        <w:t xml:space="preserve"> </w:t>
      </w:r>
      <w:r>
        <w:rPr>
          <w:rFonts w:ascii="楷体" w:hAnsi="楷体" w:eastAsia="楷体" w:cs="Calibri"/>
          <w:sz w:val="24"/>
          <w:szCs w:val="24"/>
        </w:rPr>
        <w:t xml:space="preserve">   </w:t>
      </w:r>
      <w:r>
        <w:rPr>
          <w:rFonts w:hint="eastAsia" w:ascii="楷体" w:hAnsi="楷体" w:eastAsia="楷体" w:cs="Calibri"/>
          <w:sz w:val="24"/>
          <w:szCs w:val="24"/>
        </w:rPr>
        <w:t>（2）</w:t>
      </w:r>
      <w:r>
        <w:rPr>
          <w:rFonts w:ascii="楷体" w:hAnsi="楷体" w:eastAsia="楷体" w:cs="Calibri"/>
          <w:sz w:val="24"/>
          <w:szCs w:val="24"/>
        </w:rPr>
        <w:t>如合同未约定估值方案，但有确定的预期收益率的，则按成本法估值定期计提预期收益。如该类资产存续期间发生影响资产未来现金流的重大事件的，经管理人合理判断对资产价值进行重估。</w:t>
      </w:r>
    </w:p>
    <w:p>
      <w:pPr>
        <w:ind w:firstLine="480" w:firstLineChars="200"/>
        <w:rPr>
          <w:rFonts w:ascii="楷体" w:hAnsi="楷体" w:eastAsia="楷体" w:cs="Calibri"/>
          <w:sz w:val="24"/>
          <w:szCs w:val="24"/>
        </w:rPr>
      </w:pPr>
      <w:r>
        <w:rPr>
          <w:rFonts w:hint="eastAsia" w:ascii="楷体" w:hAnsi="楷体" w:eastAsia="楷体" w:cs="Calibri"/>
          <w:sz w:val="24"/>
          <w:szCs w:val="24"/>
        </w:rPr>
        <w:t>6.</w:t>
      </w:r>
      <w:r>
        <w:rPr>
          <w:rFonts w:ascii="楷体" w:hAnsi="楷体" w:eastAsia="楷体" w:cs="Calibri"/>
          <w:sz w:val="24"/>
          <w:szCs w:val="24"/>
        </w:rPr>
        <w:t>若理财产品存续期间持有其他投资品种，以理财产品管理人和理财产品托管人共同认可的方法估值。</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7</w:t>
      </w:r>
      <w:r>
        <w:rPr>
          <w:rFonts w:ascii="楷体" w:hAnsi="楷体" w:eastAsia="楷体" w:cs="Calibri"/>
          <w:sz w:val="24"/>
          <w:szCs w:val="24"/>
        </w:rPr>
        <w:t>.</w:t>
      </w:r>
      <w:r>
        <w:rPr>
          <w:rFonts w:hint="eastAsia" w:ascii="楷体" w:hAnsi="楷体" w:eastAsia="楷体" w:cs="Calibri"/>
          <w:sz w:val="24"/>
          <w:szCs w:val="24"/>
        </w:rPr>
        <w:t>由于按摊余成本法计价可能会出现被计价对象的其他可参考公允价值指标和摊余成本之间的偏离，为消除或减少因理财产品资产净值的背离导致理财产品产品份额投资者权益的稀释或其他不公平的结果，在实际操作中，理财产品管理人与理财产品托管人将采用估值技术，对理财产品持有的估值对象进行重新评估，即“影子定价”。当投资组合的摊余成本与其他可参考公允价值指标产生重大偏离，管理人将按照其它可参考公允价值指标对组合的账面价值进行调整，使理财产品资产净值更能公允地反映理财产品资产价值，确保以摊余成本法计算的理财产品资产净值不会对理财产品投资者造成实质性的损害。其中，当影子定价确定的本产品资产净值与摊余成本法计算的资产净值正偏离度绝对值达到0.5%时，管理人应当暂停接受申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理财产品合同进行财产清算等措施。当出现上述情形时，管理人将依据法律法规规定履行信息披露程序。</w:t>
      </w:r>
    </w:p>
    <w:p>
      <w:pPr>
        <w:rPr>
          <w:rFonts w:ascii="楷体" w:hAnsi="楷体" w:eastAsia="楷体" w:cs="Calibri"/>
          <w:sz w:val="24"/>
          <w:szCs w:val="24"/>
        </w:rPr>
      </w:pPr>
      <w:r>
        <w:rPr>
          <w:rFonts w:hint="eastAsia" w:ascii="楷体" w:hAnsi="楷体" w:eastAsia="楷体" w:cs="Calibri"/>
          <w:sz w:val="24"/>
          <w:szCs w:val="24"/>
        </w:rPr>
        <w:t>影子定价与摊余成本法确定的现金管理类产品资产净值的偏离度＝</w:t>
      </w:r>
      <m:oMath>
        <m:f>
          <m:fPr>
            <m:ctrlPr>
              <w:rPr>
                <w:rFonts w:ascii="Cambria Math" w:hAnsi="Cambria Math" w:eastAsia="楷体" w:cs="Calibri"/>
                <w:sz w:val="28"/>
                <w:szCs w:val="24"/>
              </w:rPr>
            </m:ctrlPr>
          </m:fPr>
          <m:num>
            <m:r>
              <m:rPr>
                <m:sty m:val="p"/>
              </m:rPr>
              <w:rPr>
                <w:rFonts w:hint="eastAsia" w:ascii="Cambria Math" w:hAnsi="Cambria Math" w:eastAsia="楷体" w:cs="Calibri"/>
                <w:sz w:val="28"/>
                <w:szCs w:val="24"/>
              </w:rPr>
              <m:t>NAVs</m:t>
            </m:r>
            <m:r>
              <m:rPr>
                <m:sty m:val="p"/>
              </m:rPr>
              <w:rPr>
                <w:rFonts w:ascii="Cambria Math" w:hAnsi="Cambria Math" w:eastAsia="楷体" w:cs="Calibri"/>
                <w:sz w:val="28"/>
                <w:szCs w:val="24"/>
              </w:rPr>
              <m:t>−NAVa</m:t>
            </m:r>
            <m:ctrlPr>
              <w:rPr>
                <w:rFonts w:ascii="Cambria Math" w:hAnsi="Cambria Math" w:eastAsia="楷体" w:cs="Calibri"/>
                <w:sz w:val="28"/>
                <w:szCs w:val="24"/>
              </w:rPr>
            </m:ctrlPr>
          </m:num>
          <m:den>
            <m:r>
              <m:rPr>
                <m:sty m:val="p"/>
              </m:rPr>
              <w:rPr>
                <w:rFonts w:hint="eastAsia" w:ascii="Cambria Math" w:hAnsi="Cambria Math" w:eastAsia="楷体" w:cs="Calibri"/>
                <w:sz w:val="28"/>
                <w:szCs w:val="24"/>
              </w:rPr>
              <m:t>NAVa</m:t>
            </m:r>
            <m:ctrlPr>
              <w:rPr>
                <w:rFonts w:ascii="Cambria Math" w:hAnsi="Cambria Math" w:eastAsia="楷体" w:cs="Calibri"/>
                <w:sz w:val="28"/>
                <w:szCs w:val="24"/>
              </w:rPr>
            </m:ctrlPr>
          </m:den>
        </m:f>
      </m:oMath>
      <w:r>
        <w:rPr>
          <w:rFonts w:hint="eastAsia" w:ascii="楷体" w:hAnsi="楷体" w:eastAsia="楷体" w:cs="Calibri"/>
          <w:sz w:val="24"/>
          <w:szCs w:val="24"/>
        </w:rPr>
        <w:t xml:space="preserve">，其中，NAVs为影子定价确定的现金管理类产品资产净值，NAVa为摊余成本法确定的现金管理类产品资产净值。 </w:t>
      </w:r>
      <w:r>
        <w:rPr>
          <w:rFonts w:ascii="楷体" w:hAnsi="楷体" w:eastAsia="楷体" w:cs="Calibri"/>
          <w:sz w:val="24"/>
          <w:szCs w:val="24"/>
        </w:rPr>
        <w:t xml:space="preserve"> </w:t>
      </w:r>
    </w:p>
    <w:p>
      <w:pPr>
        <w:ind w:firstLine="480" w:firstLineChars="200"/>
        <w:rPr>
          <w:rFonts w:ascii="楷体" w:hAnsi="楷体" w:eastAsia="楷体" w:cs="Calibri"/>
          <w:sz w:val="24"/>
          <w:szCs w:val="24"/>
        </w:rPr>
      </w:pPr>
      <w:r>
        <w:rPr>
          <w:rFonts w:hint="eastAsia" w:ascii="楷体" w:hAnsi="楷体" w:eastAsia="楷体" w:cs="Calibri"/>
          <w:sz w:val="24"/>
          <w:szCs w:val="24"/>
        </w:rPr>
        <w:t>8.</w:t>
      </w:r>
      <w:r>
        <w:rPr>
          <w:rFonts w:ascii="楷体" w:hAnsi="楷体" w:eastAsia="楷体" w:cs="Calibri"/>
          <w:sz w:val="24"/>
          <w:szCs w:val="24"/>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pPr>
        <w:ind w:firstLine="480"/>
        <w:rPr>
          <w:rFonts w:ascii="楷体" w:hAnsi="楷体" w:eastAsia="楷体" w:cs="Calibri"/>
          <w:sz w:val="24"/>
          <w:szCs w:val="24"/>
        </w:rPr>
      </w:pPr>
      <w:r>
        <w:rPr>
          <w:rFonts w:hint="eastAsia" w:ascii="楷体" w:hAnsi="楷体" w:eastAsia="楷体" w:cs="Calibri"/>
          <w:sz w:val="24"/>
          <w:szCs w:val="24"/>
        </w:rPr>
        <w:t>9.</w:t>
      </w:r>
      <w:r>
        <w:rPr>
          <w:rFonts w:ascii="楷体" w:hAnsi="楷体" w:eastAsia="楷体" w:cs="Calibri"/>
          <w:sz w:val="24"/>
          <w:szCs w:val="24"/>
        </w:rPr>
        <w:t>对于以上估值方法，相关法律法规以及监管部门有另行规定的，按照监管最新规定执行。如监管并无明确规定和要求的，由产品管理人与托管人协商确定计算方法。</w:t>
      </w:r>
    </w:p>
    <w:p>
      <w:pPr>
        <w:ind w:firstLine="480"/>
        <w:rPr>
          <w:rFonts w:ascii="楷体" w:hAnsi="楷体" w:eastAsia="楷体" w:cs="Calibri"/>
          <w:sz w:val="24"/>
          <w:szCs w:val="24"/>
        </w:rPr>
      </w:pPr>
      <w:r>
        <w:rPr>
          <w:rFonts w:hint="eastAsia" w:ascii="楷体" w:hAnsi="楷体" w:eastAsia="楷体" w:cs="Calibri"/>
          <w:sz w:val="24"/>
          <w:szCs w:val="24"/>
        </w:rPr>
        <w:t>1</w:t>
      </w:r>
      <w:r>
        <w:rPr>
          <w:rFonts w:ascii="楷体" w:hAnsi="楷体" w:eastAsia="楷体" w:cs="Calibri"/>
          <w:sz w:val="24"/>
          <w:szCs w:val="24"/>
        </w:rPr>
        <w:t>0</w:t>
      </w:r>
      <w:r>
        <w:rPr>
          <w:rFonts w:hint="eastAsia" w:ascii="楷体" w:hAnsi="楷体" w:eastAsia="楷体" w:cs="Calibri"/>
          <w:sz w:val="24"/>
          <w:szCs w:val="24"/>
        </w:rPr>
        <w:t>.</w:t>
      </w:r>
      <w:r>
        <w:rPr>
          <w:rFonts w:ascii="楷体" w:hAnsi="楷体" w:eastAsia="楷体" w:cs="Calibri"/>
          <w:sz w:val="24"/>
          <w:szCs w:val="24"/>
        </w:rPr>
        <w:t>按以上估值方法进行估值时，所造成的误差不作为理财产品估值错误处理。</w:t>
      </w:r>
    </w:p>
    <w:p>
      <w:pPr>
        <w:rPr>
          <w:rFonts w:ascii="楷体" w:hAnsi="楷体" w:eastAsia="楷体" w:cs="Calibri"/>
          <w:sz w:val="24"/>
          <w:szCs w:val="24"/>
        </w:rPr>
      </w:pPr>
      <w:r>
        <w:rPr>
          <w:rFonts w:ascii="楷体" w:hAnsi="楷体" w:eastAsia="楷体" w:cs="Calibri"/>
          <w:sz w:val="24"/>
          <w:szCs w:val="24"/>
        </w:rPr>
        <w:t xml:space="preserve">    </w:t>
      </w:r>
      <w:r>
        <w:rPr>
          <w:rFonts w:hint="eastAsia" w:ascii="楷体" w:hAnsi="楷体" w:eastAsia="楷体" w:cs="Calibri"/>
          <w:sz w:val="24"/>
          <w:szCs w:val="24"/>
        </w:rPr>
        <w:t>1</w:t>
      </w:r>
      <w:r>
        <w:rPr>
          <w:rFonts w:ascii="楷体" w:hAnsi="楷体" w:eastAsia="楷体" w:cs="Calibri"/>
          <w:sz w:val="24"/>
          <w:szCs w:val="24"/>
        </w:rPr>
        <w:t>1</w:t>
      </w:r>
      <w:r>
        <w:rPr>
          <w:rFonts w:hint="eastAsia" w:ascii="楷体" w:hAnsi="楷体" w:eastAsia="楷体" w:cs="Calibri"/>
          <w:sz w:val="24"/>
          <w:szCs w:val="24"/>
        </w:rPr>
        <w:t>.</w:t>
      </w:r>
      <w:r>
        <w:rPr>
          <w:rFonts w:ascii="楷体" w:hAnsi="楷体" w:eastAsia="楷体" w:cs="Calibri"/>
          <w:sz w:val="24"/>
          <w:szCs w:val="24"/>
        </w:rPr>
        <w:t>扣除项：应由理财产品承担的理财产品费用和税费（如有）</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如有新增事项或变更事项，按国家最新规定或管理人最新约定进行估值。</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估值错误的处理</w:t>
      </w:r>
    </w:p>
    <w:p>
      <w:pPr>
        <w:ind w:firstLine="480" w:firstLineChars="200"/>
        <w:rPr>
          <w:rFonts w:ascii="楷体" w:hAnsi="楷体" w:eastAsia="楷体"/>
          <w:sz w:val="24"/>
          <w:szCs w:val="24"/>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w:t>
      </w:r>
      <w:r>
        <w:rPr>
          <w:rFonts w:hint="eastAsia" w:ascii="楷体" w:hAnsi="楷体" w:eastAsia="楷体"/>
          <w:sz w:val="24"/>
          <w:szCs w:val="24"/>
          <w:highlight w:val="none"/>
        </w:rPr>
        <w:t>由于证券交易所、期货交易所、第三方估值机构、登记机构、资管计划管理人等发送数据错误等非理财产品管理人和托管人原因，或由于其它不可抗力原因</w:t>
      </w:r>
      <w:r>
        <w:rPr>
          <w:rFonts w:hint="eastAsia" w:ascii="楷体" w:hAnsi="楷体" w:eastAsia="楷体"/>
          <w:sz w:val="24"/>
          <w:szCs w:val="24"/>
        </w:rPr>
        <w:t>，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25"/>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暂停估值</w:t>
      </w:r>
    </w:p>
    <w:p>
      <w:pPr>
        <w:ind w:firstLine="480" w:firstLineChars="200"/>
        <w:rPr>
          <w:rFonts w:ascii="楷体" w:hAnsi="楷体" w:eastAsia="楷体"/>
          <w:sz w:val="24"/>
          <w:szCs w:val="24"/>
        </w:rPr>
      </w:pPr>
      <w:r>
        <w:rPr>
          <w:rFonts w:hint="eastAsia" w:ascii="楷体" w:hAnsi="楷体" w:eastAsia="楷体"/>
          <w:sz w:val="24"/>
          <w:szCs w:val="24"/>
        </w:rPr>
        <w:t>理财产品投资所涉及的证券交易所遇法定节假日或其他原因暂停营业时，或因任何不可抗力致使无法准确评估资产价值时，可暂停估值。但估值条件恢复时，将按规定完成估值工作。</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十三、产品的终止与清算</w:t>
      </w:r>
    </w:p>
    <w:p>
      <w:pPr>
        <w:numPr>
          <w:ilvl w:val="0"/>
          <w:numId w:val="2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理财产品的终止</w:t>
      </w:r>
    </w:p>
    <w:p>
      <w:pPr>
        <w:numPr>
          <w:ilvl w:val="0"/>
          <w:numId w:val="28"/>
        </w:numPr>
        <w:tabs>
          <w:tab w:val="left" w:pos="728"/>
        </w:tabs>
        <w:ind w:left="0" w:firstLine="482" w:firstLineChars="200"/>
        <w:outlineLvl w:val="2"/>
        <w:rPr>
          <w:rFonts w:ascii="楷体" w:hAnsi="楷体" w:eastAsia="楷体" w:cs="Calibri"/>
          <w:b/>
          <w:sz w:val="24"/>
          <w:szCs w:val="24"/>
        </w:rPr>
      </w:pPr>
      <w:r>
        <w:rPr>
          <w:rFonts w:hint="eastAsia" w:ascii="楷体" w:hAnsi="楷体" w:eastAsia="楷体" w:cs="Calibri"/>
          <w:b/>
          <w:sz w:val="24"/>
          <w:szCs w:val="24"/>
        </w:rPr>
        <w:t>提前终止</w:t>
      </w:r>
    </w:p>
    <w:p>
      <w:pPr>
        <w:ind w:firstLine="480" w:firstLineChars="200"/>
        <w:rPr>
          <w:rFonts w:hint="eastAsia" w:ascii="楷体" w:hAnsi="楷体" w:eastAsia="楷体"/>
          <w:sz w:val="24"/>
          <w:szCs w:val="24"/>
        </w:rPr>
      </w:pPr>
      <w:r>
        <w:rPr>
          <w:rFonts w:hint="eastAsia" w:ascii="楷体" w:hAnsi="楷体" w:eastAsia="楷体"/>
          <w:sz w:val="24"/>
          <w:szCs w:val="24"/>
        </w:rPr>
        <w:t>在理财产品投资运作期间内，投资者无权要求提前终止该理财产品。在理财产品投资运作期间内，当出现下列情形之一时，产品管理人有权部分或全部终止本产品：</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因不可抗力原因导致理财产品无法继续运作。</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因法律法规变化或国家金融政策调整、紧急措施出台影响产品继续正常运作。</w:t>
      </w:r>
    </w:p>
    <w:p>
      <w:pPr>
        <w:numPr>
          <w:ilvl w:val="0"/>
          <w:numId w:val="29"/>
        </w:numPr>
        <w:tabs>
          <w:tab w:val="left" w:pos="1092"/>
        </w:tabs>
        <w:ind w:left="0" w:firstLine="480" w:firstLineChars="200"/>
        <w:rPr>
          <w:rFonts w:hint="eastAsia" w:ascii="楷体" w:hAnsi="楷体" w:eastAsia="楷体" w:cs="Calibri"/>
          <w:sz w:val="24"/>
          <w:szCs w:val="24"/>
        </w:rPr>
      </w:pPr>
      <w:r>
        <w:rPr>
          <w:rFonts w:hint="eastAsia" w:ascii="楷体" w:hAnsi="楷体" w:eastAsia="楷体" w:cs="Calibri"/>
          <w:sz w:val="24"/>
          <w:szCs w:val="24"/>
        </w:rPr>
        <w:t>法律法规规定或监管部门认定的其他情形。</w:t>
      </w:r>
    </w:p>
    <w:p>
      <w:pPr>
        <w:numPr>
          <w:ilvl w:val="0"/>
          <w:numId w:val="0"/>
        </w:numPr>
        <w:tabs>
          <w:tab w:val="left" w:pos="1092"/>
        </w:tabs>
        <w:ind w:firstLine="480" w:firstLineChars="200"/>
        <w:rPr>
          <w:rFonts w:hint="eastAsia" w:ascii="楷体" w:hAnsi="楷体" w:eastAsia="楷体" w:cs="Calibri"/>
          <w:sz w:val="24"/>
          <w:szCs w:val="24"/>
        </w:rPr>
      </w:pPr>
      <w:r>
        <w:rPr>
          <w:rFonts w:hint="eastAsia" w:ascii="楷体" w:hAnsi="楷体" w:eastAsia="楷体"/>
          <w:sz w:val="24"/>
          <w:szCs w:val="24"/>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rPr>
        <w:t>如理财产品管理人提前终止本理财产品，将至少提前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r>
        <w:rPr>
          <w:rFonts w:hint="eastAsia" w:ascii="楷体" w:hAnsi="楷体" w:eastAsia="楷体"/>
          <w:sz w:val="24"/>
          <w:szCs w:val="24"/>
          <w:highlight w:val="none"/>
        </w:rPr>
        <w:t>。</w:t>
      </w:r>
    </w:p>
    <w:p>
      <w:pPr>
        <w:numPr>
          <w:ilvl w:val="0"/>
          <w:numId w:val="28"/>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lang w:val="en-US" w:eastAsia="zh-CN"/>
        </w:rPr>
        <w:t>正常兑付</w:t>
      </w:r>
    </w:p>
    <w:p>
      <w:pPr>
        <w:ind w:firstLine="480" w:firstLineChars="200"/>
        <w:rPr>
          <w:rFonts w:hint="default" w:ascii="楷体" w:hAnsi="楷体" w:eastAsia="楷体"/>
          <w:sz w:val="24"/>
          <w:szCs w:val="24"/>
          <w:highlight w:val="none"/>
          <w:lang w:val="en-US" w:eastAsia="zh-CN"/>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28"/>
        </w:numPr>
        <w:tabs>
          <w:tab w:val="left" w:pos="728"/>
        </w:tabs>
        <w:ind w:left="0" w:firstLine="482" w:firstLineChars="200"/>
        <w:outlineLvl w:val="2"/>
        <w:rPr>
          <w:rFonts w:ascii="楷体" w:hAnsi="楷体" w:eastAsia="楷体" w:cs="Calibri"/>
          <w:b/>
          <w:sz w:val="24"/>
          <w:szCs w:val="24"/>
          <w:highlight w:val="none"/>
        </w:rPr>
      </w:pPr>
      <w:r>
        <w:rPr>
          <w:rFonts w:hint="eastAsia" w:ascii="楷体" w:hAnsi="楷体" w:eastAsia="楷体" w:cs="Calibri"/>
          <w:b/>
          <w:sz w:val="24"/>
          <w:szCs w:val="24"/>
          <w:highlight w:val="none"/>
        </w:rPr>
        <w:t>★延期兑付</w:t>
      </w:r>
    </w:p>
    <w:p>
      <w:pPr>
        <w:ind w:firstLine="480" w:firstLineChars="200"/>
        <w:rPr>
          <w:rFonts w:ascii="楷体" w:hAnsi="楷体" w:eastAsia="楷体"/>
          <w:sz w:val="24"/>
          <w:szCs w:val="24"/>
        </w:rPr>
      </w:pPr>
      <w:r>
        <w:rPr>
          <w:rFonts w:hint="eastAsia" w:ascii="楷体" w:hAnsi="楷体" w:eastAsia="楷体"/>
          <w:sz w:val="24"/>
          <w:szCs w:val="24"/>
        </w:rPr>
        <w:t>出现以下情况，产品管理人有权延长本理财产品的终止日：</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产品终止日遇非工作日则顺延至下一工作日，投资者清算资金到账日将相应调整；</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sz w:val="24"/>
          <w:szCs w:val="24"/>
        </w:rPr>
        <w:t>因不可抗力</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市场发生重大变化等</w:t>
      </w:r>
      <w:r>
        <w:rPr>
          <w:rFonts w:hint="eastAsia" w:ascii="楷体" w:hAnsi="楷体" w:eastAsia="楷体" w:cs="Calibri"/>
          <w:sz w:val="24"/>
          <w:szCs w:val="24"/>
        </w:rPr>
        <w:t>原因导致产品项下对应的投资标的无法及时变现</w:t>
      </w:r>
      <w:r>
        <w:rPr>
          <w:rFonts w:hint="eastAsia" w:ascii="楷体" w:hAnsi="楷体" w:eastAsia="楷体" w:cs="Calibri"/>
          <w:sz w:val="24"/>
          <w:szCs w:val="24"/>
          <w:lang w:eastAsia="zh-CN"/>
        </w:rPr>
        <w:t>、</w:t>
      </w:r>
      <w:r>
        <w:rPr>
          <w:rFonts w:hint="eastAsia" w:ascii="楷体" w:hAnsi="楷体" w:eastAsia="楷体" w:cs="Calibri"/>
          <w:sz w:val="24"/>
          <w:szCs w:val="24"/>
          <w:lang w:val="en-US" w:eastAsia="zh-CN"/>
        </w:rPr>
        <w:t>无法</w:t>
      </w:r>
      <w:r>
        <w:rPr>
          <w:rFonts w:hint="eastAsia" w:ascii="楷体" w:hAnsi="楷体" w:eastAsia="楷体" w:cs="Calibri"/>
          <w:sz w:val="24"/>
          <w:szCs w:val="24"/>
        </w:rPr>
        <w:t>及时收回资金；</w:t>
      </w:r>
    </w:p>
    <w:p>
      <w:pPr>
        <w:numPr>
          <w:ilvl w:val="0"/>
          <w:numId w:val="30"/>
        </w:numPr>
        <w:tabs>
          <w:tab w:val="left" w:pos="1092"/>
        </w:tabs>
        <w:ind w:left="0" w:firstLine="480" w:firstLineChars="200"/>
        <w:rPr>
          <w:rFonts w:ascii="楷体" w:hAnsi="楷体" w:eastAsia="楷体" w:cs="Calibri"/>
          <w:sz w:val="24"/>
          <w:szCs w:val="24"/>
        </w:rPr>
      </w:pPr>
      <w:r>
        <w:rPr>
          <w:rFonts w:hint="eastAsia" w:ascii="楷体" w:hAnsi="楷体" w:eastAsia="楷体" w:cs="Calibri"/>
          <w:color w:val="auto"/>
          <w:sz w:val="24"/>
          <w:szCs w:val="24"/>
        </w:rPr>
        <w:t>法律法规规定或监管部门认定的其他情形</w:t>
      </w:r>
      <w:r>
        <w:rPr>
          <w:rFonts w:hint="eastAsia" w:ascii="楷体" w:hAnsi="楷体" w:eastAsia="楷体" w:cs="Calibri"/>
          <w:sz w:val="24"/>
          <w:szCs w:val="24"/>
        </w:rPr>
        <w:t>。</w:t>
      </w:r>
    </w:p>
    <w:p>
      <w:pPr>
        <w:ind w:firstLine="480" w:firstLineChars="200"/>
        <w:rPr>
          <w:rFonts w:ascii="楷体" w:hAnsi="楷体" w:eastAsia="楷体"/>
          <w:sz w:val="24"/>
          <w:szCs w:val="24"/>
        </w:rPr>
      </w:pPr>
      <w:r>
        <w:rPr>
          <w:rFonts w:hint="eastAsia" w:ascii="楷体" w:hAnsi="楷体" w:eastAsia="楷体"/>
          <w:sz w:val="24"/>
          <w:szCs w:val="24"/>
        </w:rPr>
        <w:t>产品管理人决定延期兑付的，将至少提前</w:t>
      </w:r>
      <w:r>
        <w:rPr>
          <w:rFonts w:ascii="楷体" w:hAnsi="楷体" w:eastAsia="楷体"/>
          <w:sz w:val="24"/>
          <w:szCs w:val="24"/>
        </w:rPr>
        <w:t>2</w:t>
      </w:r>
      <w:r>
        <w:rPr>
          <w:rFonts w:hint="eastAsia" w:ascii="楷体" w:hAnsi="楷体" w:eastAsia="楷体"/>
          <w:sz w:val="24"/>
          <w:szCs w:val="24"/>
        </w:rPr>
        <w:t>个工作日（含）按本理财产品说明书约定的信息披露方式予以披露。</w:t>
      </w:r>
    </w:p>
    <w:p>
      <w:pPr>
        <w:numPr>
          <w:ilvl w:val="0"/>
          <w:numId w:val="27"/>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理财产品的清算</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1"/>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十四、税收规定</w:t>
      </w:r>
    </w:p>
    <w:p>
      <w:pPr>
        <w:ind w:firstLine="480" w:firstLineChars="200"/>
        <w:rPr>
          <w:rFonts w:ascii="楷体" w:hAnsi="楷体" w:eastAsia="楷体"/>
          <w:sz w:val="24"/>
          <w:szCs w:val="24"/>
        </w:rPr>
      </w:pPr>
      <w:r>
        <w:rPr>
          <w:rFonts w:hint="eastAsia" w:ascii="楷体" w:hAnsi="楷体" w:eastAsia="楷体"/>
          <w:sz w:val="24"/>
          <w:szCs w:val="24"/>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u w:val="single"/>
        </w:rPr>
        <w:t>投资者从理财产品取得的收益应缴纳的税款，由投资者自行申报及缴纳。</w:t>
      </w:r>
    </w:p>
    <w:p>
      <w:pPr>
        <w:numPr>
          <w:ilvl w:val="255"/>
          <w:numId w:val="0"/>
        </w:numPr>
        <w:tabs>
          <w:tab w:val="left" w:pos="1414"/>
        </w:tabs>
        <w:ind w:left="420" w:leftChars="200"/>
        <w:outlineLvl w:val="0"/>
        <w:rPr>
          <w:rFonts w:ascii="楷体" w:hAnsi="楷体" w:eastAsia="楷体"/>
          <w:b/>
          <w:sz w:val="28"/>
          <w:szCs w:val="28"/>
        </w:rPr>
      </w:pPr>
      <w:r>
        <w:rPr>
          <w:rFonts w:hint="eastAsia" w:ascii="楷体" w:hAnsi="楷体" w:eastAsia="楷体"/>
          <w:b/>
          <w:sz w:val="28"/>
          <w:szCs w:val="28"/>
        </w:rPr>
        <w:t>十五、产品托管人</w:t>
      </w:r>
    </w:p>
    <w:p>
      <w:pPr>
        <w:numPr>
          <w:ilvl w:val="0"/>
          <w:numId w:val="32"/>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w:t>
      </w:r>
    </w:p>
    <w:p>
      <w:pPr>
        <w:ind w:firstLine="480" w:firstLineChars="200"/>
        <w:rPr>
          <w:rFonts w:ascii="楷体" w:hAnsi="楷体" w:eastAsia="楷体"/>
          <w:sz w:val="24"/>
          <w:szCs w:val="24"/>
        </w:rPr>
      </w:pPr>
      <w:r>
        <w:rPr>
          <w:rFonts w:hint="eastAsia" w:ascii="楷体" w:hAnsi="楷体" w:eastAsia="楷体"/>
          <w:sz w:val="24"/>
          <w:szCs w:val="24"/>
        </w:rPr>
        <w:t>本产品托管人为江苏银行股份有限公司。产品管理人在此特别披露</w:t>
      </w:r>
      <w:r>
        <w:rPr>
          <w:rFonts w:ascii="楷体" w:hAnsi="楷体" w:eastAsia="楷体"/>
          <w:sz w:val="24"/>
          <w:szCs w:val="24"/>
        </w:rPr>
        <w:t>：</w:t>
      </w:r>
      <w:r>
        <w:rPr>
          <w:rFonts w:hint="eastAsia" w:ascii="楷体" w:hAnsi="楷体" w:eastAsia="楷体"/>
          <w:sz w:val="24"/>
          <w:szCs w:val="24"/>
        </w:rPr>
        <w:t>托管人为产品管理人的关联方</w:t>
      </w:r>
      <w:r>
        <w:rPr>
          <w:rFonts w:ascii="楷体" w:hAnsi="楷体" w:eastAsia="楷体"/>
          <w:sz w:val="24"/>
          <w:szCs w:val="24"/>
        </w:rPr>
        <w:t>，</w:t>
      </w:r>
      <w:r>
        <w:rPr>
          <w:rFonts w:hint="eastAsia" w:ascii="楷体" w:hAnsi="楷体" w:eastAsia="楷体"/>
          <w:sz w:val="24"/>
          <w:szCs w:val="24"/>
        </w:rPr>
        <w:t>产品管理人聘请其担任托管人已履行现行法律法规和监管规定所规定必须履行的程序</w:t>
      </w:r>
      <w:r>
        <w:rPr>
          <w:rFonts w:ascii="楷体" w:hAnsi="楷体" w:eastAsia="楷体"/>
          <w:sz w:val="24"/>
          <w:szCs w:val="24"/>
        </w:rPr>
        <w:t>，</w:t>
      </w:r>
      <w:r>
        <w:rPr>
          <w:rFonts w:hint="eastAsia" w:ascii="楷体" w:hAnsi="楷体" w:eastAsia="楷体"/>
          <w:sz w:val="24"/>
          <w:szCs w:val="24"/>
        </w:rPr>
        <w:t>产品管理人、投资者同意并接受理财产品由托管人托管。</w:t>
      </w:r>
    </w:p>
    <w:p>
      <w:pPr>
        <w:numPr>
          <w:ilvl w:val="0"/>
          <w:numId w:val="32"/>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托管人职责</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安全保管理财产品财产；</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为理财产品开立银行托管账户、证券账户等；</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确认与执行理财产品资金划拨指令，办理理财产品资金的收付，核对理财产品资金划拨记录；</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建立与理财产品管理人的对账机制，复核理财产品资产净值、理财产品份额申购、赎回价格，及时核查投资资金的支付和到账情况；</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监督理财产品投资运作；</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办理与理财产品托管业务活动相关的信息披露事项；</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保存理财产品托管业务活动的记录、账册、报表和其他相关材料；</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对理财产品投资信息和相关资料承担保密责任；</w:t>
      </w:r>
    </w:p>
    <w:p>
      <w:pPr>
        <w:numPr>
          <w:ilvl w:val="0"/>
          <w:numId w:val="33"/>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国务院银行业监督管理机构规定的其他职责。</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十六、信息披露</w:t>
      </w:r>
    </w:p>
    <w:p>
      <w:pPr>
        <w:numPr>
          <w:ilvl w:val="0"/>
          <w:numId w:val="3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信息披露内容</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产品类型、募集信息、产品净值、产品规模、托管安排、投资账户信息；</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产品投向、投资比例、持仓情况、杠杆水平以及主要投资风险；</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产品收益分配、各项费用情况；</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产品涉及关联交易；</w:t>
      </w:r>
    </w:p>
    <w:p>
      <w:pPr>
        <w:numPr>
          <w:ilvl w:val="0"/>
          <w:numId w:val="35"/>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其他影响本产品投资运作的重大事项、临时性信息披露等。</w:t>
      </w:r>
    </w:p>
    <w:p>
      <w:pPr>
        <w:numPr>
          <w:ilvl w:val="0"/>
          <w:numId w:val="3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信息披露频率</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发行公告：管理人在产品成立后5个工作日内，披露产品成立公告，内容包括理财产品成立日期和募集规模等信息。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tabs>
          <w:tab w:val="left" w:pos="728"/>
        </w:tabs>
        <w:ind w:firstLine="482" w:firstLineChars="200"/>
        <w:rPr>
          <w:rFonts w:ascii="楷体" w:hAnsi="楷体" w:eastAsia="楷体" w:cs="Calibri"/>
          <w:b/>
          <w:sz w:val="24"/>
          <w:szCs w:val="24"/>
          <w:u w:val="single"/>
        </w:rPr>
      </w:pPr>
      <w:r>
        <w:rPr>
          <w:rFonts w:hint="eastAsia" w:ascii="楷体" w:hAnsi="楷体" w:eastAsia="楷体" w:cs="Calibri"/>
          <w:b/>
          <w:sz w:val="24"/>
          <w:szCs w:val="24"/>
          <w:u w:val="single"/>
        </w:rPr>
        <w:t>管理人应当在本理财产品的半年和年度报告中，披露本理财产品前</w:t>
      </w:r>
      <w:r>
        <w:rPr>
          <w:rFonts w:ascii="楷体" w:hAnsi="楷体" w:eastAsia="楷体" w:cs="Calibri"/>
          <w:b/>
          <w:sz w:val="24"/>
          <w:szCs w:val="24"/>
          <w:u w:val="single"/>
        </w:rPr>
        <w:t>10名投资者的类别、持有份额及占总份额的比例等信息。</w:t>
      </w:r>
    </w:p>
    <w:p>
      <w:pPr>
        <w:tabs>
          <w:tab w:val="left" w:pos="728"/>
        </w:tabs>
        <w:ind w:firstLine="482" w:firstLineChars="200"/>
        <w:rPr>
          <w:rFonts w:ascii="楷体" w:hAnsi="楷体" w:eastAsia="楷体" w:cs="Calibri"/>
          <w:sz w:val="24"/>
          <w:szCs w:val="24"/>
        </w:rPr>
      </w:pPr>
      <w:r>
        <w:rPr>
          <w:rFonts w:hint="eastAsia" w:ascii="楷体" w:hAnsi="楷体" w:eastAsia="楷体" w:cs="Calibri"/>
          <w:b/>
          <w:sz w:val="24"/>
          <w:szCs w:val="24"/>
          <w:u w:val="single"/>
        </w:rPr>
        <w:t>本理财产品存续期间，如出现单一投资者持有产品份额达到或者超过本理财产品总份额</w:t>
      </w:r>
      <w:r>
        <w:rPr>
          <w:rFonts w:ascii="楷体" w:hAnsi="楷体" w:eastAsia="楷体" w:cs="Calibri"/>
          <w:b/>
          <w:sz w:val="24"/>
          <w:szCs w:val="24"/>
          <w:u w:val="single"/>
        </w:rPr>
        <w:t>20%的情形，为保障其他投资者的权益，管理人应当在定期报告中披露该投资者的类别、持有份额及占比、持有份额变化情况及产品风险等信息，</w:t>
      </w:r>
      <w:r>
        <w:rPr>
          <w:rFonts w:hint="eastAsia" w:ascii="楷体" w:hAnsi="楷体" w:eastAsia="楷体" w:cs="Calibri"/>
          <w:b/>
          <w:sz w:val="24"/>
          <w:szCs w:val="24"/>
          <w:u w:val="single"/>
          <w:lang w:val="en-US" w:eastAsia="zh-CN"/>
        </w:rPr>
        <w:t>监管机构</w:t>
      </w:r>
      <w:r>
        <w:rPr>
          <w:rFonts w:ascii="楷体" w:hAnsi="楷体" w:eastAsia="楷体" w:cs="Calibri"/>
          <w:b/>
          <w:sz w:val="24"/>
          <w:szCs w:val="24"/>
          <w:u w:val="single"/>
        </w:rPr>
        <w:t>认定的特殊情形除外</w:t>
      </w:r>
      <w:r>
        <w:rPr>
          <w:rFonts w:hint="eastAsia" w:ascii="楷体" w:hAnsi="楷体" w:eastAsia="楷体" w:cs="Calibri"/>
          <w:sz w:val="24"/>
          <w:szCs w:val="24"/>
        </w:rPr>
        <w:t>。</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到期公告：管理人在产品终止后5个工作日内，披露产品到期公告，内容包括理财产品的存续期限、终止日期、收费情况和收益分配情况等信息。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重大事项公告：管理人在发生可能对理财产品投资者或者理财产品收益产生重大事项的事件后2个工作日内发布重大事项公告。</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产品净值披露：管理人在每个工作日披露上一日每万份收益和七日年化收益率。</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临时性信息披露：管理人将及时披露国务院银行业监督管理机构规定的其他信息或除重大事项事件以外的其他信息。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半年度整体报告：每半年披露从事理财业务活动的有关信息。</w:t>
      </w:r>
    </w:p>
    <w:p>
      <w:pPr>
        <w:numPr>
          <w:ilvl w:val="0"/>
          <w:numId w:val="36"/>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理财账单：管理人每月向投资者提供其所持有的理财产品账单，账单内容包括但不限于投资者持有的理财产品份额、认购金额、</w:t>
      </w:r>
      <w:r>
        <w:rPr>
          <w:rFonts w:hint="eastAsia" w:ascii="楷体" w:hAnsi="楷体" w:eastAsia="楷体" w:cs="Calibri"/>
          <w:sz w:val="24"/>
          <w:szCs w:val="24"/>
          <w:lang w:val="en-US" w:eastAsia="zh-CN"/>
        </w:rPr>
        <w:t>份额</w:t>
      </w:r>
      <w:r>
        <w:rPr>
          <w:rFonts w:hint="eastAsia" w:ascii="楷体" w:hAnsi="楷体" w:eastAsia="楷体" w:cs="Calibri"/>
          <w:sz w:val="24"/>
          <w:szCs w:val="24"/>
        </w:rPr>
        <w:t>净值、份额累计净值、资产净值、收益情况、投资者理财交易账户发生的交易明细记录等信息。</w:t>
      </w:r>
    </w:p>
    <w:p>
      <w:pPr>
        <w:numPr>
          <w:ilvl w:val="0"/>
          <w:numId w:val="34"/>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信息披露方式</w:t>
      </w:r>
    </w:p>
    <w:p>
      <w:pPr>
        <w:ind w:firstLine="480" w:firstLineChars="200"/>
        <w:rPr>
          <w:rFonts w:ascii="楷体" w:hAnsi="楷体" w:eastAsia="楷体"/>
          <w:sz w:val="24"/>
          <w:szCs w:val="24"/>
        </w:rPr>
      </w:pPr>
      <w:r>
        <w:rPr>
          <w:rFonts w:hint="eastAsia" w:ascii="楷体" w:hAnsi="楷体" w:eastAsia="楷体"/>
          <w:sz w:val="24"/>
          <w:szCs w:val="24"/>
        </w:rPr>
        <w:t>由苏银理财按监管要求和说明书的约定，同时通过以下方式向投资者进行信息披露，披露方式包括：</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苏银理财通过苏银理财有限责任公司官方网站（</w:t>
      </w:r>
      <w:r>
        <w:rPr>
          <w:rFonts w:ascii="楷体" w:hAnsi="楷体" w:eastAsia="楷体" w:cs="Calibri"/>
          <w:sz w:val="24"/>
          <w:szCs w:val="24"/>
          <w:highlight w:val="none"/>
        </w:rPr>
        <w:t>www</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suyinwealth</w:t>
      </w:r>
      <w:r>
        <w:rPr>
          <w:rFonts w:hint="eastAsia" w:ascii="楷体" w:hAnsi="楷体" w:eastAsia="楷体" w:cs="Calibri"/>
          <w:sz w:val="24"/>
          <w:szCs w:val="24"/>
          <w:highlight w:val="none"/>
          <w:lang w:val="en-US" w:eastAsia="zh-CN"/>
        </w:rPr>
        <w:t>.</w:t>
      </w:r>
      <w:r>
        <w:rPr>
          <w:rFonts w:ascii="楷体" w:hAnsi="楷体" w:eastAsia="楷体" w:cs="Calibri"/>
          <w:sz w:val="24"/>
          <w:szCs w:val="24"/>
          <w:highlight w:val="none"/>
        </w:rPr>
        <w:t>com</w:t>
      </w:r>
      <w:r>
        <w:rPr>
          <w:rFonts w:hint="eastAsia" w:ascii="楷体" w:hAnsi="楷体" w:eastAsia="楷体" w:cs="Calibri"/>
          <w:sz w:val="24"/>
          <w:szCs w:val="24"/>
        </w:rPr>
        <w:t>）进行信息披露。</w:t>
      </w:r>
    </w:p>
    <w:p>
      <w:pPr>
        <w:numPr>
          <w:ilvl w:val="0"/>
          <w:numId w:val="37"/>
        </w:numPr>
        <w:tabs>
          <w:tab w:val="left" w:pos="728"/>
        </w:tabs>
        <w:ind w:left="0" w:firstLine="480" w:firstLineChars="200"/>
        <w:rPr>
          <w:rFonts w:ascii="楷体" w:hAnsi="楷体" w:eastAsia="楷体" w:cs="Calibri"/>
          <w:sz w:val="24"/>
          <w:szCs w:val="24"/>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ascii="楷体" w:hAnsi="楷体" w:eastAsia="楷体"/>
          <w:sz w:val="24"/>
          <w:szCs w:val="24"/>
        </w:rPr>
      </w:pPr>
      <w:r>
        <w:rPr>
          <w:rFonts w:hint="eastAsia" w:ascii="楷体" w:hAnsi="楷体" w:eastAsia="楷体"/>
          <w:sz w:val="24"/>
          <w:szCs w:val="24"/>
        </w:rPr>
        <w:t>相关信息在发布或发出之日视为通知已送达投资者并生效，</w:t>
      </w:r>
      <w:r>
        <w:rPr>
          <w:rFonts w:hint="eastAsia" w:ascii="楷体" w:hAnsi="楷体" w:eastAsia="楷体"/>
          <w:sz w:val="24"/>
          <w:szCs w:val="24"/>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rPr>
        <w:t>请</w:t>
      </w:r>
      <w:r>
        <w:rPr>
          <w:rFonts w:hint="eastAsia" w:ascii="楷体" w:hAnsi="楷体" w:eastAsia="楷体"/>
          <w:sz w:val="24"/>
          <w:szCs w:val="24"/>
          <w:lang w:val="en-US" w:eastAsia="zh-CN"/>
        </w:rPr>
        <w:t>投资者</w:t>
      </w:r>
      <w:r>
        <w:rPr>
          <w:rFonts w:hint="eastAsia" w:ascii="楷体" w:hAnsi="楷体" w:eastAsia="楷体"/>
          <w:sz w:val="24"/>
          <w:szCs w:val="24"/>
        </w:rPr>
        <w:t>及时登陆苏银理财有限责任</w:t>
      </w:r>
      <w:r>
        <w:rPr>
          <w:rFonts w:hint="eastAsia" w:ascii="楷体" w:hAnsi="楷体" w:eastAsia="楷体"/>
          <w:sz w:val="24"/>
          <w:szCs w:val="24"/>
          <w:lang w:val="en-US" w:eastAsia="zh-CN"/>
        </w:rPr>
        <w:t>公司</w:t>
      </w:r>
      <w:r>
        <w:rPr>
          <w:rFonts w:hint="eastAsia" w:ascii="楷体" w:hAnsi="楷体" w:eastAsia="楷体"/>
          <w:sz w:val="24"/>
          <w:szCs w:val="24"/>
        </w:rPr>
        <w:t>官方网站或者向销售机构查询获取披露信息。</w:t>
      </w:r>
    </w:p>
    <w:p>
      <w:pPr>
        <w:numPr>
          <w:ilvl w:val="255"/>
          <w:numId w:val="0"/>
        </w:numPr>
        <w:tabs>
          <w:tab w:val="left" w:pos="1428"/>
        </w:tabs>
        <w:ind w:left="420" w:leftChars="200"/>
        <w:outlineLvl w:val="0"/>
        <w:rPr>
          <w:rFonts w:ascii="楷体" w:hAnsi="楷体" w:eastAsia="楷体"/>
          <w:b/>
          <w:sz w:val="28"/>
          <w:szCs w:val="28"/>
        </w:rPr>
      </w:pPr>
      <w:r>
        <w:rPr>
          <w:rFonts w:hint="eastAsia" w:ascii="楷体" w:hAnsi="楷体" w:eastAsia="楷体"/>
          <w:b/>
          <w:sz w:val="28"/>
          <w:szCs w:val="28"/>
        </w:rPr>
        <w:t>十七、其他</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追索条款</w:t>
      </w:r>
    </w:p>
    <w:p>
      <w:pPr>
        <w:ind w:firstLine="480" w:firstLineChars="200"/>
        <w:rPr>
          <w:rFonts w:ascii="楷体" w:hAnsi="楷体" w:eastAsia="楷体"/>
          <w:sz w:val="24"/>
          <w:szCs w:val="24"/>
        </w:rPr>
      </w:pPr>
      <w:r>
        <w:rPr>
          <w:rFonts w:hint="eastAsia" w:ascii="楷体" w:hAnsi="楷体" w:eastAsia="楷体"/>
          <w:sz w:val="24"/>
          <w:szCs w:val="24"/>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信息安全</w:t>
      </w:r>
    </w:p>
    <w:p>
      <w:pPr>
        <w:ind w:firstLine="480" w:firstLineChars="200"/>
        <w:rPr>
          <w:rFonts w:ascii="楷体" w:hAnsi="楷体" w:eastAsia="楷体"/>
          <w:sz w:val="24"/>
          <w:szCs w:val="24"/>
        </w:rPr>
      </w:pPr>
      <w:r>
        <w:rPr>
          <w:rFonts w:hint="eastAsia" w:ascii="楷体" w:hAnsi="楷体" w:eastAsia="楷体"/>
          <w:sz w:val="24"/>
          <w:szCs w:val="24"/>
        </w:rPr>
        <w:t>苏银理财及销售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ascii="楷体" w:hAnsi="楷体" w:eastAsia="楷体"/>
          <w:sz w:val="24"/>
          <w:szCs w:val="24"/>
        </w:rPr>
      </w:pPr>
      <w:r>
        <w:rPr>
          <w:rFonts w:hint="eastAsia" w:ascii="楷体" w:hAnsi="楷体" w:eastAsia="楷体"/>
          <w:sz w:val="24"/>
          <w:szCs w:val="24"/>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lang w:val="en-US" w:eastAsia="zh-CN"/>
        </w:rPr>
        <w:t>接触</w:t>
      </w:r>
      <w:r>
        <w:rPr>
          <w:rFonts w:hint="eastAsia" w:ascii="楷体" w:hAnsi="楷体" w:eastAsia="楷体"/>
          <w:sz w:val="24"/>
          <w:szCs w:val="24"/>
        </w:rPr>
        <w:t>并按照苏银理财的业务要求以及“最少必须”原则使用投资人个人信息。苏银理财承诺将向有关第三方明确其保护投资人信息的职责并要求第三方承担相应的保密义务。</w:t>
      </w:r>
    </w:p>
    <w:p>
      <w:pPr>
        <w:numPr>
          <w:ilvl w:val="0"/>
          <w:numId w:val="38"/>
        </w:numPr>
        <w:tabs>
          <w:tab w:val="left" w:pos="993"/>
        </w:tabs>
        <w:ind w:left="0" w:firstLine="482" w:firstLineChars="200"/>
        <w:outlineLvl w:val="1"/>
        <w:rPr>
          <w:rFonts w:ascii="楷体" w:hAnsi="楷体" w:eastAsia="楷体" w:cs="Calibri"/>
          <w:b/>
          <w:sz w:val="24"/>
          <w:szCs w:val="24"/>
        </w:rPr>
      </w:pPr>
      <w:r>
        <w:rPr>
          <w:rFonts w:hint="eastAsia" w:ascii="楷体" w:hAnsi="楷体" w:eastAsia="楷体" w:cs="Calibri"/>
          <w:b/>
          <w:sz w:val="24"/>
          <w:szCs w:val="24"/>
        </w:rPr>
        <w:t>争议解决</w:t>
      </w:r>
    </w:p>
    <w:p>
      <w:pPr>
        <w:ind w:firstLine="480" w:firstLineChars="200"/>
        <w:rPr>
          <w:rFonts w:ascii="楷体" w:hAnsi="楷体" w:eastAsia="楷体"/>
          <w:sz w:val="24"/>
          <w:szCs w:val="24"/>
        </w:rPr>
      </w:pPr>
      <w:r>
        <w:rPr>
          <w:rFonts w:hint="eastAsia" w:ascii="楷体" w:hAnsi="楷体" w:eastAsia="楷体"/>
          <w:sz w:val="24"/>
          <w:szCs w:val="24"/>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ascii="楷体" w:hAnsi="楷体" w:eastAsia="楷体"/>
          <w:b/>
          <w:sz w:val="28"/>
          <w:szCs w:val="28"/>
        </w:rPr>
      </w:pPr>
      <w:r>
        <w:rPr>
          <w:rFonts w:hint="eastAsia" w:ascii="楷体" w:hAnsi="楷体" w:eastAsia="楷体"/>
          <w:sz w:val="24"/>
          <w:szCs w:val="24"/>
        </w:rPr>
        <w:t>苏银理财有限责任公司将恪守勤勉尽责的原则，合理配置资产组合，为投资者提供专业化的理财服务。投资者应密切关注苏银理财有限责任公司与本产品有关的信息公告，以免造成不必要的损失。</w:t>
      </w:r>
      <w:bookmarkStart w:id="0" w:name="_GoBack"/>
      <w:bookmarkEnd w:id="0"/>
    </w:p>
    <w:sectPr>
      <w:headerReference r:id="rId10" w:type="first"/>
      <w:headerReference r:id="rId8" w:type="default"/>
      <w:footerReference r:id="rId11" w:type="default"/>
      <w:headerReference r:id="rId9"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41</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hint="eastAsia" w:ascii="楷体" w:hAnsi="楷体" w:eastAsia="楷体" w:cs="楷体"/>
          <w:lang w:val="en-US" w:eastAsia="zh-CN"/>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lang w:val="en-US" w:eastAsia="zh-CN"/>
        </w:rPr>
        <w:t>投资者权益须知的名称和内容以销售机构实际使用为准。</w:t>
      </w:r>
    </w:p>
  </w:footnote>
  <w:footnote w:id="1">
    <w:p>
      <w:pPr>
        <w:pStyle w:val="11"/>
        <w:rPr>
          <w:rFonts w:hint="eastAsia"/>
        </w:rPr>
      </w:pPr>
      <w:r>
        <w:rPr>
          <w:rFonts w:hint="eastAsia" w:ascii="Times New Roman" w:hAnsi="Times New Roman" w:eastAsia="楷体" w:cs="Times New Roman"/>
          <w:sz w:val="18"/>
          <w:szCs w:val="18"/>
          <w:vertAlign w:val="superscript"/>
          <w:lang w:val="en-US" w:eastAsia="zh-CN"/>
        </w:rPr>
        <w:footnoteRef/>
      </w:r>
      <w:r>
        <w:rPr>
          <w:rFonts w:hint="eastAsia" w:ascii="Times New Roman" w:hAnsi="Times New Roman" w:eastAsia="楷体" w:cs="Times New Roman"/>
          <w:sz w:val="18"/>
          <w:szCs w:val="18"/>
          <w:vertAlign w:val="superscript"/>
          <w:lang w:val="en-US" w:eastAsia="zh-CN"/>
        </w:rPr>
        <w:t xml:space="preserve"> </w:t>
      </w:r>
      <w:r>
        <w:rPr>
          <w:rFonts w:hint="eastAsia" w:ascii="楷体" w:hAnsi="楷体" w:eastAsia="楷体" w:cs="楷体"/>
        </w:rPr>
        <w:t>理财产品</w:t>
      </w:r>
      <w:r>
        <w:rPr>
          <w:rFonts w:hint="eastAsia" w:ascii="楷体" w:hAnsi="楷体" w:eastAsia="楷体" w:cs="楷体"/>
          <w:lang w:eastAsia="zh-CN"/>
        </w:rPr>
        <w:t>（代理）销售协议</w:t>
      </w:r>
      <w:r>
        <w:rPr>
          <w:rFonts w:hint="eastAsia" w:ascii="楷体" w:hAnsi="楷体" w:eastAsia="楷体" w:cs="楷体"/>
        </w:rPr>
        <w:t>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黑体" w:eastAsia="黑体" w:cs="黑体"/>
        <w:spacing w:val="-2"/>
        <w:sz w:val="24"/>
        <w:szCs w:val="24"/>
      </w:rPr>
    </w:pPr>
    <w:r>
      <w:pict>
        <v:shape id="WordPictureWatermark367144751" o:spid="_x0000_s2070" o:spt="75" type="#_x0000_t75" style="position:absolute;left:0pt;height:862.85pt;width:1137.35pt;mso-position-horizontal:center;mso-position-horizontal-relative:margin;mso-position-vertical:center;mso-position-vertical-relative:margin;z-index:-251652096;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6432"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23" name="图片 2" descr="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黑体" w:eastAsia="黑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50" o:spid="_x0000_s2072" o:spt="75" type="#_x0000_t75" style="position:absolute;left:0pt;height:862.85pt;width:1137.35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44749" o:spid="_x0000_s2069" o:spt="75" type="#_x0000_t75" style="position:absolute;left:0pt;height:862.85pt;width:1137.35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2060" o:spt="75" type="#_x0000_t75" style="position:absolute;left:0pt;margin-left:-361pt;margin-top:-83.1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drawing>
        <wp:anchor distT="0" distB="0" distL="114300" distR="114300" simplePos="0" relativeHeight="251665408" behindDoc="0" locked="0" layoutInCell="1" allowOverlap="1">
          <wp:simplePos x="0" y="0"/>
          <wp:positionH relativeFrom="column">
            <wp:posOffset>3923665</wp:posOffset>
          </wp:positionH>
          <wp:positionV relativeFrom="paragraph">
            <wp:posOffset>-95250</wp:posOffset>
          </wp:positionV>
          <wp:extent cx="1325245" cy="424815"/>
          <wp:effectExtent l="0" t="0" r="8255" b="0"/>
          <wp:wrapSquare wrapText="bothSides"/>
          <wp:docPr id="9"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说明: 说明: C:\Users\JSYH\Desktop\苏银理财.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205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2058"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C537CE"/>
    <w:multiLevelType w:val="singleLevel"/>
    <w:tmpl w:val="D2C537CE"/>
    <w:lvl w:ilvl="0" w:tentative="0">
      <w:start w:val="4"/>
      <w:numFmt w:val="decimal"/>
      <w:suff w:val="nothing"/>
      <w:lvlText w:val="%1、"/>
      <w:lvlJc w:val="left"/>
    </w:lvl>
  </w:abstractNum>
  <w:abstractNum w:abstractNumId="1">
    <w:nsid w:val="EE75D0C4"/>
    <w:multiLevelType w:val="singleLevel"/>
    <w:tmpl w:val="EE75D0C4"/>
    <w:lvl w:ilvl="0" w:tentative="0">
      <w:start w:val="1"/>
      <w:numFmt w:val="decimal"/>
      <w:suff w:val="nothing"/>
      <w:lvlText w:val="（%1）"/>
      <w:lvlJc w:val="left"/>
    </w:lvl>
  </w:abstractNum>
  <w:abstractNum w:abstractNumId="2">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3">
    <w:nsid w:val="07102B14"/>
    <w:multiLevelType w:val="multilevel"/>
    <w:tmpl w:val="07102B14"/>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7">
    <w:nsid w:val="1B890F9E"/>
    <w:multiLevelType w:val="multilevel"/>
    <w:tmpl w:val="1B890F9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0CE7009"/>
    <w:multiLevelType w:val="multilevel"/>
    <w:tmpl w:val="40CE7009"/>
    <w:lvl w:ilvl="0" w:tentative="0">
      <w:start w:val="1"/>
      <w:numFmt w:val="decimal"/>
      <w:lvlText w:val="%1."/>
      <w:lvlJc w:val="left"/>
      <w:pPr>
        <w:ind w:left="2122"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7">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51F440F1"/>
    <w:multiLevelType w:val="multilevel"/>
    <w:tmpl w:val="51F440F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2915C06"/>
    <w:multiLevelType w:val="multilevel"/>
    <w:tmpl w:val="52915C0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8D10B54"/>
    <w:multiLevelType w:val="multilevel"/>
    <w:tmpl w:val="58D10B5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BC30213"/>
    <w:multiLevelType w:val="multilevel"/>
    <w:tmpl w:val="5BC3021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D055B78"/>
    <w:multiLevelType w:val="multilevel"/>
    <w:tmpl w:val="5D055B7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605B5574"/>
    <w:multiLevelType w:val="multilevel"/>
    <w:tmpl w:val="605B5574"/>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5A40DEB"/>
    <w:multiLevelType w:val="multilevel"/>
    <w:tmpl w:val="65A40DE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6FA54A7"/>
    <w:multiLevelType w:val="multilevel"/>
    <w:tmpl w:val="66FA54A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7267532"/>
    <w:multiLevelType w:val="multilevel"/>
    <w:tmpl w:val="6726753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BFB44B6"/>
    <w:multiLevelType w:val="multilevel"/>
    <w:tmpl w:val="6BFB44B6"/>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7C3373F8"/>
    <w:multiLevelType w:val="multilevel"/>
    <w:tmpl w:val="7C3373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7"/>
  </w:num>
  <w:num w:numId="2">
    <w:abstractNumId w:val="16"/>
  </w:num>
  <w:num w:numId="3">
    <w:abstractNumId w:val="8"/>
  </w:num>
  <w:num w:numId="4">
    <w:abstractNumId w:val="13"/>
  </w:num>
  <w:num w:numId="5">
    <w:abstractNumId w:val="29"/>
  </w:num>
  <w:num w:numId="6">
    <w:abstractNumId w:val="23"/>
  </w:num>
  <w:num w:numId="7">
    <w:abstractNumId w:val="32"/>
  </w:num>
  <w:num w:numId="8">
    <w:abstractNumId w:val="9"/>
  </w:num>
  <w:num w:numId="9">
    <w:abstractNumId w:val="15"/>
  </w:num>
  <w:num w:numId="10">
    <w:abstractNumId w:val="1"/>
  </w:num>
  <w:num w:numId="11">
    <w:abstractNumId w:val="35"/>
  </w:num>
  <w:num w:numId="12">
    <w:abstractNumId w:val="18"/>
  </w:num>
  <w:num w:numId="13">
    <w:abstractNumId w:val="10"/>
  </w:num>
  <w:num w:numId="14">
    <w:abstractNumId w:val="2"/>
  </w:num>
  <w:num w:numId="15">
    <w:abstractNumId w:val="28"/>
  </w:num>
  <w:num w:numId="16">
    <w:abstractNumId w:val="6"/>
  </w:num>
  <w:num w:numId="17">
    <w:abstractNumId w:val="31"/>
  </w:num>
  <w:num w:numId="18">
    <w:abstractNumId w:val="0"/>
  </w:num>
  <w:num w:numId="19">
    <w:abstractNumId w:val="24"/>
  </w:num>
  <w:num w:numId="20">
    <w:abstractNumId w:val="7"/>
  </w:num>
  <w:num w:numId="21">
    <w:abstractNumId w:val="14"/>
  </w:num>
  <w:num w:numId="22">
    <w:abstractNumId w:val="3"/>
  </w:num>
  <w:num w:numId="23">
    <w:abstractNumId w:val="19"/>
  </w:num>
  <w:num w:numId="24">
    <w:abstractNumId w:val="37"/>
  </w:num>
  <w:num w:numId="25">
    <w:abstractNumId w:val="22"/>
  </w:num>
  <w:num w:numId="26">
    <w:abstractNumId w:val="20"/>
  </w:num>
  <w:num w:numId="27">
    <w:abstractNumId w:val="11"/>
  </w:num>
  <w:num w:numId="28">
    <w:abstractNumId w:val="30"/>
  </w:num>
  <w:num w:numId="29">
    <w:abstractNumId w:val="5"/>
  </w:num>
  <w:num w:numId="30">
    <w:abstractNumId w:val="33"/>
  </w:num>
  <w:num w:numId="31">
    <w:abstractNumId w:val="21"/>
  </w:num>
  <w:num w:numId="32">
    <w:abstractNumId w:val="26"/>
  </w:num>
  <w:num w:numId="33">
    <w:abstractNumId w:val="12"/>
  </w:num>
  <w:num w:numId="34">
    <w:abstractNumId w:val="36"/>
  </w:num>
  <w:num w:numId="35">
    <w:abstractNumId w:val="17"/>
  </w:num>
  <w:num w:numId="36">
    <w:abstractNumId w:val="34"/>
  </w:num>
  <w:num w:numId="37">
    <w:abstractNumId w:val="4"/>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3B"/>
    <w:rsid w:val="00002389"/>
    <w:rsid w:val="00003606"/>
    <w:rsid w:val="000048B0"/>
    <w:rsid w:val="00005B01"/>
    <w:rsid w:val="00006EAF"/>
    <w:rsid w:val="000101E4"/>
    <w:rsid w:val="0001103A"/>
    <w:rsid w:val="00011464"/>
    <w:rsid w:val="00012543"/>
    <w:rsid w:val="000131EF"/>
    <w:rsid w:val="00013628"/>
    <w:rsid w:val="00014334"/>
    <w:rsid w:val="00014EC2"/>
    <w:rsid w:val="000158A7"/>
    <w:rsid w:val="00015A92"/>
    <w:rsid w:val="00015D58"/>
    <w:rsid w:val="00016232"/>
    <w:rsid w:val="00017933"/>
    <w:rsid w:val="000202AB"/>
    <w:rsid w:val="0002052D"/>
    <w:rsid w:val="00020A6F"/>
    <w:rsid w:val="00021007"/>
    <w:rsid w:val="00023A4F"/>
    <w:rsid w:val="00023BA8"/>
    <w:rsid w:val="00023E47"/>
    <w:rsid w:val="000247F9"/>
    <w:rsid w:val="00026143"/>
    <w:rsid w:val="000263ED"/>
    <w:rsid w:val="00026D13"/>
    <w:rsid w:val="00027056"/>
    <w:rsid w:val="000279D8"/>
    <w:rsid w:val="00027E61"/>
    <w:rsid w:val="00027F48"/>
    <w:rsid w:val="0003072E"/>
    <w:rsid w:val="00030D69"/>
    <w:rsid w:val="000315E6"/>
    <w:rsid w:val="00031707"/>
    <w:rsid w:val="00031806"/>
    <w:rsid w:val="00031A38"/>
    <w:rsid w:val="00031BAC"/>
    <w:rsid w:val="00031F80"/>
    <w:rsid w:val="00034890"/>
    <w:rsid w:val="00035045"/>
    <w:rsid w:val="00036007"/>
    <w:rsid w:val="000375C2"/>
    <w:rsid w:val="000401BF"/>
    <w:rsid w:val="000405B1"/>
    <w:rsid w:val="00043555"/>
    <w:rsid w:val="00043D5F"/>
    <w:rsid w:val="000462D8"/>
    <w:rsid w:val="000469D0"/>
    <w:rsid w:val="00046AAA"/>
    <w:rsid w:val="0004768E"/>
    <w:rsid w:val="000503FC"/>
    <w:rsid w:val="00050975"/>
    <w:rsid w:val="00051DB3"/>
    <w:rsid w:val="00054158"/>
    <w:rsid w:val="00054854"/>
    <w:rsid w:val="000553A7"/>
    <w:rsid w:val="00057222"/>
    <w:rsid w:val="00057646"/>
    <w:rsid w:val="00057F4B"/>
    <w:rsid w:val="00060571"/>
    <w:rsid w:val="000617D2"/>
    <w:rsid w:val="00061D74"/>
    <w:rsid w:val="00062791"/>
    <w:rsid w:val="00064F2B"/>
    <w:rsid w:val="000661A6"/>
    <w:rsid w:val="00066F56"/>
    <w:rsid w:val="000677EE"/>
    <w:rsid w:val="00071418"/>
    <w:rsid w:val="00071581"/>
    <w:rsid w:val="00072396"/>
    <w:rsid w:val="0007293A"/>
    <w:rsid w:val="00072D1F"/>
    <w:rsid w:val="0007366C"/>
    <w:rsid w:val="00074189"/>
    <w:rsid w:val="00074306"/>
    <w:rsid w:val="000757BB"/>
    <w:rsid w:val="0007693B"/>
    <w:rsid w:val="000804C2"/>
    <w:rsid w:val="00080C2C"/>
    <w:rsid w:val="00081AD6"/>
    <w:rsid w:val="00082051"/>
    <w:rsid w:val="000848C8"/>
    <w:rsid w:val="000849CB"/>
    <w:rsid w:val="000853F6"/>
    <w:rsid w:val="000867A8"/>
    <w:rsid w:val="00087036"/>
    <w:rsid w:val="00087D83"/>
    <w:rsid w:val="00087EDB"/>
    <w:rsid w:val="00091208"/>
    <w:rsid w:val="000913BF"/>
    <w:rsid w:val="00091907"/>
    <w:rsid w:val="00093C11"/>
    <w:rsid w:val="00094613"/>
    <w:rsid w:val="00094631"/>
    <w:rsid w:val="00096382"/>
    <w:rsid w:val="0009795C"/>
    <w:rsid w:val="00097F80"/>
    <w:rsid w:val="000A2D2D"/>
    <w:rsid w:val="000A2E68"/>
    <w:rsid w:val="000A45AB"/>
    <w:rsid w:val="000B0078"/>
    <w:rsid w:val="000B0690"/>
    <w:rsid w:val="000B3B58"/>
    <w:rsid w:val="000B3D2F"/>
    <w:rsid w:val="000B3EFD"/>
    <w:rsid w:val="000B4410"/>
    <w:rsid w:val="000B659B"/>
    <w:rsid w:val="000B6E9F"/>
    <w:rsid w:val="000C3DB1"/>
    <w:rsid w:val="000C54ED"/>
    <w:rsid w:val="000C5C02"/>
    <w:rsid w:val="000C6143"/>
    <w:rsid w:val="000C7382"/>
    <w:rsid w:val="000D1ED6"/>
    <w:rsid w:val="000D35BD"/>
    <w:rsid w:val="000D6E4B"/>
    <w:rsid w:val="000D71CF"/>
    <w:rsid w:val="000D7225"/>
    <w:rsid w:val="000D722C"/>
    <w:rsid w:val="000E0485"/>
    <w:rsid w:val="000E2E7D"/>
    <w:rsid w:val="000E34BA"/>
    <w:rsid w:val="000E34F3"/>
    <w:rsid w:val="000E4205"/>
    <w:rsid w:val="000E72A0"/>
    <w:rsid w:val="000E7CF6"/>
    <w:rsid w:val="000F034D"/>
    <w:rsid w:val="000F0433"/>
    <w:rsid w:val="000F1D3C"/>
    <w:rsid w:val="000F3D5D"/>
    <w:rsid w:val="000F4243"/>
    <w:rsid w:val="000F4811"/>
    <w:rsid w:val="000F4ABF"/>
    <w:rsid w:val="000F4B2B"/>
    <w:rsid w:val="000F5B66"/>
    <w:rsid w:val="000F5FF6"/>
    <w:rsid w:val="000F65C5"/>
    <w:rsid w:val="000F7056"/>
    <w:rsid w:val="000F7D2C"/>
    <w:rsid w:val="00100193"/>
    <w:rsid w:val="00100F0C"/>
    <w:rsid w:val="001025A3"/>
    <w:rsid w:val="001036A0"/>
    <w:rsid w:val="0010457E"/>
    <w:rsid w:val="0010540B"/>
    <w:rsid w:val="001065F5"/>
    <w:rsid w:val="0010678E"/>
    <w:rsid w:val="001074AB"/>
    <w:rsid w:val="00110417"/>
    <w:rsid w:val="00110AB0"/>
    <w:rsid w:val="00111E3E"/>
    <w:rsid w:val="0011258E"/>
    <w:rsid w:val="001126F6"/>
    <w:rsid w:val="00112F03"/>
    <w:rsid w:val="00115E7F"/>
    <w:rsid w:val="0011696D"/>
    <w:rsid w:val="00117CE3"/>
    <w:rsid w:val="00121681"/>
    <w:rsid w:val="00121ED8"/>
    <w:rsid w:val="00122035"/>
    <w:rsid w:val="00122F58"/>
    <w:rsid w:val="0012352A"/>
    <w:rsid w:val="00123BCB"/>
    <w:rsid w:val="0012411A"/>
    <w:rsid w:val="001242DE"/>
    <w:rsid w:val="00124929"/>
    <w:rsid w:val="00125B8C"/>
    <w:rsid w:val="0012647A"/>
    <w:rsid w:val="00127044"/>
    <w:rsid w:val="001303B2"/>
    <w:rsid w:val="00130EED"/>
    <w:rsid w:val="00130F7B"/>
    <w:rsid w:val="00131F1B"/>
    <w:rsid w:val="0013364F"/>
    <w:rsid w:val="001336CE"/>
    <w:rsid w:val="00133AAF"/>
    <w:rsid w:val="00133B98"/>
    <w:rsid w:val="0013472F"/>
    <w:rsid w:val="00134733"/>
    <w:rsid w:val="001359ED"/>
    <w:rsid w:val="00135B61"/>
    <w:rsid w:val="00136797"/>
    <w:rsid w:val="001405C2"/>
    <w:rsid w:val="00140B25"/>
    <w:rsid w:val="00142F4F"/>
    <w:rsid w:val="001450DF"/>
    <w:rsid w:val="0014734D"/>
    <w:rsid w:val="00151CC7"/>
    <w:rsid w:val="00152B36"/>
    <w:rsid w:val="001530B2"/>
    <w:rsid w:val="001543E7"/>
    <w:rsid w:val="00154456"/>
    <w:rsid w:val="00154508"/>
    <w:rsid w:val="00154F7A"/>
    <w:rsid w:val="00155B77"/>
    <w:rsid w:val="00156867"/>
    <w:rsid w:val="00157C4D"/>
    <w:rsid w:val="00160569"/>
    <w:rsid w:val="00160CEC"/>
    <w:rsid w:val="00161E2F"/>
    <w:rsid w:val="001624A3"/>
    <w:rsid w:val="001624DA"/>
    <w:rsid w:val="00162AA1"/>
    <w:rsid w:val="00162BF5"/>
    <w:rsid w:val="00164B60"/>
    <w:rsid w:val="00165862"/>
    <w:rsid w:val="00165E23"/>
    <w:rsid w:val="00166B3A"/>
    <w:rsid w:val="00170099"/>
    <w:rsid w:val="00170194"/>
    <w:rsid w:val="00170927"/>
    <w:rsid w:val="0017092A"/>
    <w:rsid w:val="00170A6E"/>
    <w:rsid w:val="00172B90"/>
    <w:rsid w:val="00173A2B"/>
    <w:rsid w:val="00173CE1"/>
    <w:rsid w:val="00174417"/>
    <w:rsid w:val="001749CF"/>
    <w:rsid w:val="001750FE"/>
    <w:rsid w:val="00175E88"/>
    <w:rsid w:val="00175FA5"/>
    <w:rsid w:val="00176B8E"/>
    <w:rsid w:val="001770F3"/>
    <w:rsid w:val="001774A0"/>
    <w:rsid w:val="00177BCC"/>
    <w:rsid w:val="0018179B"/>
    <w:rsid w:val="0018251A"/>
    <w:rsid w:val="00183463"/>
    <w:rsid w:val="001846FB"/>
    <w:rsid w:val="00184D1D"/>
    <w:rsid w:val="001860DF"/>
    <w:rsid w:val="00191737"/>
    <w:rsid w:val="00194E69"/>
    <w:rsid w:val="001968BC"/>
    <w:rsid w:val="00197DD9"/>
    <w:rsid w:val="001A059E"/>
    <w:rsid w:val="001A05F5"/>
    <w:rsid w:val="001A1C12"/>
    <w:rsid w:val="001A418D"/>
    <w:rsid w:val="001A422B"/>
    <w:rsid w:val="001A502C"/>
    <w:rsid w:val="001A57DB"/>
    <w:rsid w:val="001A586B"/>
    <w:rsid w:val="001A73F1"/>
    <w:rsid w:val="001A77E8"/>
    <w:rsid w:val="001B1360"/>
    <w:rsid w:val="001B1BB1"/>
    <w:rsid w:val="001B1D26"/>
    <w:rsid w:val="001B1D7F"/>
    <w:rsid w:val="001B1E1E"/>
    <w:rsid w:val="001B25A3"/>
    <w:rsid w:val="001B2F76"/>
    <w:rsid w:val="001B2F82"/>
    <w:rsid w:val="001B396B"/>
    <w:rsid w:val="001B44A7"/>
    <w:rsid w:val="001B4B9C"/>
    <w:rsid w:val="001B57A4"/>
    <w:rsid w:val="001B72EB"/>
    <w:rsid w:val="001B7D0D"/>
    <w:rsid w:val="001B7F6F"/>
    <w:rsid w:val="001C13E9"/>
    <w:rsid w:val="001C3886"/>
    <w:rsid w:val="001C4148"/>
    <w:rsid w:val="001C432A"/>
    <w:rsid w:val="001C469F"/>
    <w:rsid w:val="001C6DD2"/>
    <w:rsid w:val="001C78FF"/>
    <w:rsid w:val="001D0B29"/>
    <w:rsid w:val="001D1C27"/>
    <w:rsid w:val="001D2A8B"/>
    <w:rsid w:val="001D3ED4"/>
    <w:rsid w:val="001D48EE"/>
    <w:rsid w:val="001D49AC"/>
    <w:rsid w:val="001D4B2D"/>
    <w:rsid w:val="001D4BC9"/>
    <w:rsid w:val="001D4FE1"/>
    <w:rsid w:val="001D78FF"/>
    <w:rsid w:val="001E0062"/>
    <w:rsid w:val="001E0387"/>
    <w:rsid w:val="001E223F"/>
    <w:rsid w:val="001E4374"/>
    <w:rsid w:val="001E49AE"/>
    <w:rsid w:val="001E4A82"/>
    <w:rsid w:val="001E4C0D"/>
    <w:rsid w:val="001E4E95"/>
    <w:rsid w:val="001E55CB"/>
    <w:rsid w:val="001E631F"/>
    <w:rsid w:val="001E6744"/>
    <w:rsid w:val="001E68EF"/>
    <w:rsid w:val="001F0A69"/>
    <w:rsid w:val="001F1728"/>
    <w:rsid w:val="001F2658"/>
    <w:rsid w:val="001F3AD6"/>
    <w:rsid w:val="001F3C4B"/>
    <w:rsid w:val="001F3CCB"/>
    <w:rsid w:val="001F63BD"/>
    <w:rsid w:val="001F6775"/>
    <w:rsid w:val="001F69BF"/>
    <w:rsid w:val="00200449"/>
    <w:rsid w:val="00200523"/>
    <w:rsid w:val="0020097F"/>
    <w:rsid w:val="00200DF8"/>
    <w:rsid w:val="0020123C"/>
    <w:rsid w:val="0020196F"/>
    <w:rsid w:val="002024E9"/>
    <w:rsid w:val="002026C0"/>
    <w:rsid w:val="002047F3"/>
    <w:rsid w:val="0020590E"/>
    <w:rsid w:val="00205EB2"/>
    <w:rsid w:val="00205FEC"/>
    <w:rsid w:val="0020639A"/>
    <w:rsid w:val="00210857"/>
    <w:rsid w:val="002119A2"/>
    <w:rsid w:val="00211F5B"/>
    <w:rsid w:val="00213632"/>
    <w:rsid w:val="0021388F"/>
    <w:rsid w:val="00215F66"/>
    <w:rsid w:val="0021712C"/>
    <w:rsid w:val="0022162D"/>
    <w:rsid w:val="00221937"/>
    <w:rsid w:val="002222A4"/>
    <w:rsid w:val="00224018"/>
    <w:rsid w:val="0022633B"/>
    <w:rsid w:val="00226F9D"/>
    <w:rsid w:val="00230ED7"/>
    <w:rsid w:val="00230F4A"/>
    <w:rsid w:val="002319B1"/>
    <w:rsid w:val="00231B08"/>
    <w:rsid w:val="00232A54"/>
    <w:rsid w:val="0023376E"/>
    <w:rsid w:val="0023523A"/>
    <w:rsid w:val="00235E45"/>
    <w:rsid w:val="002366EB"/>
    <w:rsid w:val="00236C4F"/>
    <w:rsid w:val="002379DD"/>
    <w:rsid w:val="00237FDB"/>
    <w:rsid w:val="0024053C"/>
    <w:rsid w:val="0024212E"/>
    <w:rsid w:val="002436C1"/>
    <w:rsid w:val="00243DF5"/>
    <w:rsid w:val="00244E6D"/>
    <w:rsid w:val="00245106"/>
    <w:rsid w:val="00245D03"/>
    <w:rsid w:val="0024748B"/>
    <w:rsid w:val="00247A34"/>
    <w:rsid w:val="00247A7D"/>
    <w:rsid w:val="0025150E"/>
    <w:rsid w:val="00252198"/>
    <w:rsid w:val="00252B51"/>
    <w:rsid w:val="00253997"/>
    <w:rsid w:val="0025423C"/>
    <w:rsid w:val="00254A3C"/>
    <w:rsid w:val="00254A8B"/>
    <w:rsid w:val="00256E57"/>
    <w:rsid w:val="0025744E"/>
    <w:rsid w:val="002579CC"/>
    <w:rsid w:val="0026284C"/>
    <w:rsid w:val="002659F1"/>
    <w:rsid w:val="0026641B"/>
    <w:rsid w:val="002672C8"/>
    <w:rsid w:val="00270665"/>
    <w:rsid w:val="00272261"/>
    <w:rsid w:val="00272C53"/>
    <w:rsid w:val="00272E20"/>
    <w:rsid w:val="00273681"/>
    <w:rsid w:val="00273B34"/>
    <w:rsid w:val="00273B74"/>
    <w:rsid w:val="00274D47"/>
    <w:rsid w:val="00274FAF"/>
    <w:rsid w:val="0027510A"/>
    <w:rsid w:val="00276200"/>
    <w:rsid w:val="002765F4"/>
    <w:rsid w:val="00276883"/>
    <w:rsid w:val="00277498"/>
    <w:rsid w:val="00277C1F"/>
    <w:rsid w:val="002808A9"/>
    <w:rsid w:val="002821D7"/>
    <w:rsid w:val="00282F20"/>
    <w:rsid w:val="002872D2"/>
    <w:rsid w:val="0029004F"/>
    <w:rsid w:val="00291B84"/>
    <w:rsid w:val="00292610"/>
    <w:rsid w:val="00292B19"/>
    <w:rsid w:val="00292B5E"/>
    <w:rsid w:val="00292FFC"/>
    <w:rsid w:val="002932FC"/>
    <w:rsid w:val="0029429C"/>
    <w:rsid w:val="00294431"/>
    <w:rsid w:val="00294B49"/>
    <w:rsid w:val="00295538"/>
    <w:rsid w:val="00297034"/>
    <w:rsid w:val="002A046A"/>
    <w:rsid w:val="002A1262"/>
    <w:rsid w:val="002A23E0"/>
    <w:rsid w:val="002A2E20"/>
    <w:rsid w:val="002A32DF"/>
    <w:rsid w:val="002A46D7"/>
    <w:rsid w:val="002A6980"/>
    <w:rsid w:val="002A7DF5"/>
    <w:rsid w:val="002A7E94"/>
    <w:rsid w:val="002B0795"/>
    <w:rsid w:val="002B2620"/>
    <w:rsid w:val="002B3225"/>
    <w:rsid w:val="002B497E"/>
    <w:rsid w:val="002B5694"/>
    <w:rsid w:val="002B605E"/>
    <w:rsid w:val="002B657A"/>
    <w:rsid w:val="002C021F"/>
    <w:rsid w:val="002C1C54"/>
    <w:rsid w:val="002C2056"/>
    <w:rsid w:val="002C23F7"/>
    <w:rsid w:val="002C320F"/>
    <w:rsid w:val="002C3367"/>
    <w:rsid w:val="002C622F"/>
    <w:rsid w:val="002C6D69"/>
    <w:rsid w:val="002C7016"/>
    <w:rsid w:val="002C7117"/>
    <w:rsid w:val="002C7CB4"/>
    <w:rsid w:val="002D0706"/>
    <w:rsid w:val="002D29FD"/>
    <w:rsid w:val="002D2AEC"/>
    <w:rsid w:val="002D2C1F"/>
    <w:rsid w:val="002D3635"/>
    <w:rsid w:val="002D5411"/>
    <w:rsid w:val="002D5589"/>
    <w:rsid w:val="002D727A"/>
    <w:rsid w:val="002E00B8"/>
    <w:rsid w:val="002E0589"/>
    <w:rsid w:val="002E1382"/>
    <w:rsid w:val="002E3A84"/>
    <w:rsid w:val="002E6AD0"/>
    <w:rsid w:val="002E6F55"/>
    <w:rsid w:val="002F0E4E"/>
    <w:rsid w:val="002F2771"/>
    <w:rsid w:val="002F344B"/>
    <w:rsid w:val="002F403C"/>
    <w:rsid w:val="002F561E"/>
    <w:rsid w:val="002F709A"/>
    <w:rsid w:val="002F77A8"/>
    <w:rsid w:val="00301619"/>
    <w:rsid w:val="00301AD3"/>
    <w:rsid w:val="00301E80"/>
    <w:rsid w:val="00302755"/>
    <w:rsid w:val="003039FF"/>
    <w:rsid w:val="00304D18"/>
    <w:rsid w:val="00305A15"/>
    <w:rsid w:val="00306353"/>
    <w:rsid w:val="00306D41"/>
    <w:rsid w:val="00307094"/>
    <w:rsid w:val="00307342"/>
    <w:rsid w:val="00307A5F"/>
    <w:rsid w:val="00310A72"/>
    <w:rsid w:val="0031143A"/>
    <w:rsid w:val="00311C18"/>
    <w:rsid w:val="0031298C"/>
    <w:rsid w:val="00313619"/>
    <w:rsid w:val="00313D52"/>
    <w:rsid w:val="00314235"/>
    <w:rsid w:val="0032098B"/>
    <w:rsid w:val="003222FC"/>
    <w:rsid w:val="003227E7"/>
    <w:rsid w:val="00325D85"/>
    <w:rsid w:val="0032607C"/>
    <w:rsid w:val="00326E7B"/>
    <w:rsid w:val="00327CCE"/>
    <w:rsid w:val="0033166C"/>
    <w:rsid w:val="003324AE"/>
    <w:rsid w:val="00332C6A"/>
    <w:rsid w:val="0033358A"/>
    <w:rsid w:val="00333937"/>
    <w:rsid w:val="003342B8"/>
    <w:rsid w:val="0033504B"/>
    <w:rsid w:val="003362C7"/>
    <w:rsid w:val="00336A5A"/>
    <w:rsid w:val="00337AA0"/>
    <w:rsid w:val="00337DE3"/>
    <w:rsid w:val="00342ADB"/>
    <w:rsid w:val="00343B0F"/>
    <w:rsid w:val="00343D4D"/>
    <w:rsid w:val="00347006"/>
    <w:rsid w:val="00347D0D"/>
    <w:rsid w:val="003503AE"/>
    <w:rsid w:val="00351D8C"/>
    <w:rsid w:val="0035213A"/>
    <w:rsid w:val="00353419"/>
    <w:rsid w:val="00353F27"/>
    <w:rsid w:val="00355D35"/>
    <w:rsid w:val="00356BEA"/>
    <w:rsid w:val="0035741C"/>
    <w:rsid w:val="00360094"/>
    <w:rsid w:val="003627FB"/>
    <w:rsid w:val="00362826"/>
    <w:rsid w:val="00363EEF"/>
    <w:rsid w:val="0036403D"/>
    <w:rsid w:val="0036406A"/>
    <w:rsid w:val="0036455C"/>
    <w:rsid w:val="003656BF"/>
    <w:rsid w:val="00366074"/>
    <w:rsid w:val="003661FF"/>
    <w:rsid w:val="00367122"/>
    <w:rsid w:val="00367428"/>
    <w:rsid w:val="003676E9"/>
    <w:rsid w:val="0037083D"/>
    <w:rsid w:val="00372402"/>
    <w:rsid w:val="003724FE"/>
    <w:rsid w:val="003726C4"/>
    <w:rsid w:val="003732C5"/>
    <w:rsid w:val="00374086"/>
    <w:rsid w:val="00374DFE"/>
    <w:rsid w:val="003758DB"/>
    <w:rsid w:val="00375BEB"/>
    <w:rsid w:val="00375DA9"/>
    <w:rsid w:val="00377518"/>
    <w:rsid w:val="003800B4"/>
    <w:rsid w:val="003809E0"/>
    <w:rsid w:val="003814E2"/>
    <w:rsid w:val="00381E88"/>
    <w:rsid w:val="003821F9"/>
    <w:rsid w:val="003827CD"/>
    <w:rsid w:val="00383A99"/>
    <w:rsid w:val="00383D6D"/>
    <w:rsid w:val="003852EF"/>
    <w:rsid w:val="003870EE"/>
    <w:rsid w:val="0038729B"/>
    <w:rsid w:val="00387A01"/>
    <w:rsid w:val="003926B7"/>
    <w:rsid w:val="00393452"/>
    <w:rsid w:val="00394C2C"/>
    <w:rsid w:val="00395441"/>
    <w:rsid w:val="00396F85"/>
    <w:rsid w:val="0039723A"/>
    <w:rsid w:val="003A1CB9"/>
    <w:rsid w:val="003A27B8"/>
    <w:rsid w:val="003A2B7D"/>
    <w:rsid w:val="003A3D8C"/>
    <w:rsid w:val="003A3E40"/>
    <w:rsid w:val="003A539D"/>
    <w:rsid w:val="003A59F9"/>
    <w:rsid w:val="003A5F79"/>
    <w:rsid w:val="003A5FA1"/>
    <w:rsid w:val="003A6124"/>
    <w:rsid w:val="003A6CA4"/>
    <w:rsid w:val="003A7623"/>
    <w:rsid w:val="003B1725"/>
    <w:rsid w:val="003B242C"/>
    <w:rsid w:val="003B324C"/>
    <w:rsid w:val="003B4CE4"/>
    <w:rsid w:val="003B4D64"/>
    <w:rsid w:val="003B5DFB"/>
    <w:rsid w:val="003B6220"/>
    <w:rsid w:val="003B76DC"/>
    <w:rsid w:val="003C13CA"/>
    <w:rsid w:val="003C1E93"/>
    <w:rsid w:val="003C2161"/>
    <w:rsid w:val="003C31CD"/>
    <w:rsid w:val="003C3D4A"/>
    <w:rsid w:val="003C596C"/>
    <w:rsid w:val="003D03AF"/>
    <w:rsid w:val="003D07CA"/>
    <w:rsid w:val="003D1FE5"/>
    <w:rsid w:val="003D3735"/>
    <w:rsid w:val="003D497A"/>
    <w:rsid w:val="003D5148"/>
    <w:rsid w:val="003D6081"/>
    <w:rsid w:val="003D6720"/>
    <w:rsid w:val="003D6B3F"/>
    <w:rsid w:val="003D7951"/>
    <w:rsid w:val="003E030F"/>
    <w:rsid w:val="003E1EFB"/>
    <w:rsid w:val="003E2B26"/>
    <w:rsid w:val="003E4299"/>
    <w:rsid w:val="003E6D92"/>
    <w:rsid w:val="003E6F85"/>
    <w:rsid w:val="003E70B9"/>
    <w:rsid w:val="003E7812"/>
    <w:rsid w:val="003F2136"/>
    <w:rsid w:val="003F277A"/>
    <w:rsid w:val="003F31E6"/>
    <w:rsid w:val="003F40F9"/>
    <w:rsid w:val="003F4C40"/>
    <w:rsid w:val="003F52FE"/>
    <w:rsid w:val="003F580D"/>
    <w:rsid w:val="003F61D7"/>
    <w:rsid w:val="003F780E"/>
    <w:rsid w:val="00401F3A"/>
    <w:rsid w:val="00402686"/>
    <w:rsid w:val="0040272E"/>
    <w:rsid w:val="00402EA0"/>
    <w:rsid w:val="00403452"/>
    <w:rsid w:val="0040350A"/>
    <w:rsid w:val="00403F44"/>
    <w:rsid w:val="004041C9"/>
    <w:rsid w:val="004062F1"/>
    <w:rsid w:val="0040793A"/>
    <w:rsid w:val="004079CC"/>
    <w:rsid w:val="004106A7"/>
    <w:rsid w:val="00410F85"/>
    <w:rsid w:val="00412823"/>
    <w:rsid w:val="0041382E"/>
    <w:rsid w:val="00413D00"/>
    <w:rsid w:val="00414410"/>
    <w:rsid w:val="0041442A"/>
    <w:rsid w:val="00414992"/>
    <w:rsid w:val="00416ED0"/>
    <w:rsid w:val="004175B0"/>
    <w:rsid w:val="00421C9B"/>
    <w:rsid w:val="004233D8"/>
    <w:rsid w:val="00423C6E"/>
    <w:rsid w:val="00423ED9"/>
    <w:rsid w:val="00425F90"/>
    <w:rsid w:val="00426041"/>
    <w:rsid w:val="00426CBC"/>
    <w:rsid w:val="00427CC0"/>
    <w:rsid w:val="0043002F"/>
    <w:rsid w:val="004303B3"/>
    <w:rsid w:val="004305C9"/>
    <w:rsid w:val="00430927"/>
    <w:rsid w:val="0043097E"/>
    <w:rsid w:val="0043308A"/>
    <w:rsid w:val="00433113"/>
    <w:rsid w:val="00433F87"/>
    <w:rsid w:val="00434262"/>
    <w:rsid w:val="0043673C"/>
    <w:rsid w:val="00436801"/>
    <w:rsid w:val="00437DA0"/>
    <w:rsid w:val="004412CE"/>
    <w:rsid w:val="00441312"/>
    <w:rsid w:val="00441ED0"/>
    <w:rsid w:val="00442603"/>
    <w:rsid w:val="00442BF4"/>
    <w:rsid w:val="00444898"/>
    <w:rsid w:val="004457E4"/>
    <w:rsid w:val="00445E88"/>
    <w:rsid w:val="004506BE"/>
    <w:rsid w:val="004509F6"/>
    <w:rsid w:val="00453254"/>
    <w:rsid w:val="00453540"/>
    <w:rsid w:val="0045366F"/>
    <w:rsid w:val="00453F4D"/>
    <w:rsid w:val="00455C1F"/>
    <w:rsid w:val="00455D49"/>
    <w:rsid w:val="00455DF1"/>
    <w:rsid w:val="0045657D"/>
    <w:rsid w:val="00456A0F"/>
    <w:rsid w:val="00460F22"/>
    <w:rsid w:val="00463619"/>
    <w:rsid w:val="0046446A"/>
    <w:rsid w:val="004645D0"/>
    <w:rsid w:val="00464A97"/>
    <w:rsid w:val="00464FA6"/>
    <w:rsid w:val="004651E5"/>
    <w:rsid w:val="004673A5"/>
    <w:rsid w:val="00467543"/>
    <w:rsid w:val="004676E4"/>
    <w:rsid w:val="0046796E"/>
    <w:rsid w:val="00467E09"/>
    <w:rsid w:val="00470519"/>
    <w:rsid w:val="004707EC"/>
    <w:rsid w:val="00470F11"/>
    <w:rsid w:val="0047173F"/>
    <w:rsid w:val="00471A65"/>
    <w:rsid w:val="0047215E"/>
    <w:rsid w:val="004722FE"/>
    <w:rsid w:val="00472764"/>
    <w:rsid w:val="00472A2C"/>
    <w:rsid w:val="004739B2"/>
    <w:rsid w:val="00473ED0"/>
    <w:rsid w:val="00474D99"/>
    <w:rsid w:val="004758B6"/>
    <w:rsid w:val="004761F8"/>
    <w:rsid w:val="0047624F"/>
    <w:rsid w:val="00476551"/>
    <w:rsid w:val="00476764"/>
    <w:rsid w:val="00477502"/>
    <w:rsid w:val="00477506"/>
    <w:rsid w:val="00477994"/>
    <w:rsid w:val="00480ED0"/>
    <w:rsid w:val="00481CB0"/>
    <w:rsid w:val="00482251"/>
    <w:rsid w:val="00482CC2"/>
    <w:rsid w:val="004835E4"/>
    <w:rsid w:val="00483838"/>
    <w:rsid w:val="00483A00"/>
    <w:rsid w:val="00483D82"/>
    <w:rsid w:val="00484CF0"/>
    <w:rsid w:val="00484D6A"/>
    <w:rsid w:val="004856F7"/>
    <w:rsid w:val="00485E98"/>
    <w:rsid w:val="00485EE5"/>
    <w:rsid w:val="00487169"/>
    <w:rsid w:val="00490405"/>
    <w:rsid w:val="00490539"/>
    <w:rsid w:val="004907EE"/>
    <w:rsid w:val="004910C2"/>
    <w:rsid w:val="00491342"/>
    <w:rsid w:val="00491B25"/>
    <w:rsid w:val="004923DC"/>
    <w:rsid w:val="004925DF"/>
    <w:rsid w:val="004929D1"/>
    <w:rsid w:val="004939CA"/>
    <w:rsid w:val="00497D5C"/>
    <w:rsid w:val="004A243A"/>
    <w:rsid w:val="004A2756"/>
    <w:rsid w:val="004A49CD"/>
    <w:rsid w:val="004A4AED"/>
    <w:rsid w:val="004A58D1"/>
    <w:rsid w:val="004A5E88"/>
    <w:rsid w:val="004A65C0"/>
    <w:rsid w:val="004A6C11"/>
    <w:rsid w:val="004A74CE"/>
    <w:rsid w:val="004B1E66"/>
    <w:rsid w:val="004B2EC3"/>
    <w:rsid w:val="004B4001"/>
    <w:rsid w:val="004B4B39"/>
    <w:rsid w:val="004B6EA9"/>
    <w:rsid w:val="004B735F"/>
    <w:rsid w:val="004B77FF"/>
    <w:rsid w:val="004B7F73"/>
    <w:rsid w:val="004C0D55"/>
    <w:rsid w:val="004C0F0C"/>
    <w:rsid w:val="004C187B"/>
    <w:rsid w:val="004C1C90"/>
    <w:rsid w:val="004C49FA"/>
    <w:rsid w:val="004C4C9B"/>
    <w:rsid w:val="004C4EA4"/>
    <w:rsid w:val="004C701F"/>
    <w:rsid w:val="004C7C47"/>
    <w:rsid w:val="004D0388"/>
    <w:rsid w:val="004D0478"/>
    <w:rsid w:val="004D0A93"/>
    <w:rsid w:val="004D20F5"/>
    <w:rsid w:val="004D34DD"/>
    <w:rsid w:val="004D382B"/>
    <w:rsid w:val="004D3B10"/>
    <w:rsid w:val="004D49D8"/>
    <w:rsid w:val="004D6E8F"/>
    <w:rsid w:val="004D73A7"/>
    <w:rsid w:val="004D73BA"/>
    <w:rsid w:val="004D7BA3"/>
    <w:rsid w:val="004E1FFC"/>
    <w:rsid w:val="004E3B6D"/>
    <w:rsid w:val="004E3C6A"/>
    <w:rsid w:val="004E46B0"/>
    <w:rsid w:val="004E594D"/>
    <w:rsid w:val="004E645B"/>
    <w:rsid w:val="004F0A8A"/>
    <w:rsid w:val="004F3425"/>
    <w:rsid w:val="004F369D"/>
    <w:rsid w:val="004F3AC9"/>
    <w:rsid w:val="004F3E2D"/>
    <w:rsid w:val="004F3E60"/>
    <w:rsid w:val="004F46F0"/>
    <w:rsid w:val="004F4F78"/>
    <w:rsid w:val="004F55EC"/>
    <w:rsid w:val="005011AD"/>
    <w:rsid w:val="005013A2"/>
    <w:rsid w:val="005032A0"/>
    <w:rsid w:val="0050386F"/>
    <w:rsid w:val="00503982"/>
    <w:rsid w:val="005041D5"/>
    <w:rsid w:val="00506806"/>
    <w:rsid w:val="005071D2"/>
    <w:rsid w:val="00510526"/>
    <w:rsid w:val="00510823"/>
    <w:rsid w:val="0051208D"/>
    <w:rsid w:val="00512670"/>
    <w:rsid w:val="00512AC8"/>
    <w:rsid w:val="00515789"/>
    <w:rsid w:val="00516DA1"/>
    <w:rsid w:val="005201F1"/>
    <w:rsid w:val="0052073F"/>
    <w:rsid w:val="00520ACC"/>
    <w:rsid w:val="00520B0B"/>
    <w:rsid w:val="005212D4"/>
    <w:rsid w:val="00521859"/>
    <w:rsid w:val="00522AA1"/>
    <w:rsid w:val="0052415B"/>
    <w:rsid w:val="005243E7"/>
    <w:rsid w:val="00526313"/>
    <w:rsid w:val="005266CB"/>
    <w:rsid w:val="00527FBD"/>
    <w:rsid w:val="0053069A"/>
    <w:rsid w:val="005308B0"/>
    <w:rsid w:val="0053444E"/>
    <w:rsid w:val="0053487E"/>
    <w:rsid w:val="0053510C"/>
    <w:rsid w:val="005362B4"/>
    <w:rsid w:val="0053633A"/>
    <w:rsid w:val="00536E3A"/>
    <w:rsid w:val="005400DC"/>
    <w:rsid w:val="00540E77"/>
    <w:rsid w:val="00542940"/>
    <w:rsid w:val="00542A74"/>
    <w:rsid w:val="00542CCA"/>
    <w:rsid w:val="0054309D"/>
    <w:rsid w:val="005436F3"/>
    <w:rsid w:val="00544451"/>
    <w:rsid w:val="005449D5"/>
    <w:rsid w:val="00544A6C"/>
    <w:rsid w:val="00551427"/>
    <w:rsid w:val="00551C0A"/>
    <w:rsid w:val="005532D9"/>
    <w:rsid w:val="005542EF"/>
    <w:rsid w:val="00554430"/>
    <w:rsid w:val="00555F85"/>
    <w:rsid w:val="0055630E"/>
    <w:rsid w:val="005567F7"/>
    <w:rsid w:val="00560551"/>
    <w:rsid w:val="00561FE9"/>
    <w:rsid w:val="00562804"/>
    <w:rsid w:val="00563061"/>
    <w:rsid w:val="00564093"/>
    <w:rsid w:val="00564DFE"/>
    <w:rsid w:val="00564F46"/>
    <w:rsid w:val="005659B2"/>
    <w:rsid w:val="00566CB6"/>
    <w:rsid w:val="00567AAC"/>
    <w:rsid w:val="0057295B"/>
    <w:rsid w:val="00572A2F"/>
    <w:rsid w:val="00572C28"/>
    <w:rsid w:val="00572D91"/>
    <w:rsid w:val="00574893"/>
    <w:rsid w:val="005753ED"/>
    <w:rsid w:val="00575E03"/>
    <w:rsid w:val="00576B32"/>
    <w:rsid w:val="00576B9E"/>
    <w:rsid w:val="00577555"/>
    <w:rsid w:val="005803FA"/>
    <w:rsid w:val="005827DA"/>
    <w:rsid w:val="0058356E"/>
    <w:rsid w:val="00583A5E"/>
    <w:rsid w:val="00585DCB"/>
    <w:rsid w:val="005865C7"/>
    <w:rsid w:val="00590CD8"/>
    <w:rsid w:val="00593310"/>
    <w:rsid w:val="0059593D"/>
    <w:rsid w:val="00595C4D"/>
    <w:rsid w:val="00597498"/>
    <w:rsid w:val="0059767A"/>
    <w:rsid w:val="00597A01"/>
    <w:rsid w:val="00597B28"/>
    <w:rsid w:val="005A0462"/>
    <w:rsid w:val="005A43FC"/>
    <w:rsid w:val="005A588A"/>
    <w:rsid w:val="005A6007"/>
    <w:rsid w:val="005A6752"/>
    <w:rsid w:val="005A6DE4"/>
    <w:rsid w:val="005A7236"/>
    <w:rsid w:val="005A7777"/>
    <w:rsid w:val="005A7842"/>
    <w:rsid w:val="005B08B3"/>
    <w:rsid w:val="005B0F07"/>
    <w:rsid w:val="005B16D7"/>
    <w:rsid w:val="005B1B3D"/>
    <w:rsid w:val="005B1BB5"/>
    <w:rsid w:val="005B37DB"/>
    <w:rsid w:val="005B3AC2"/>
    <w:rsid w:val="005B439F"/>
    <w:rsid w:val="005B4492"/>
    <w:rsid w:val="005B49CC"/>
    <w:rsid w:val="005B62FA"/>
    <w:rsid w:val="005B6576"/>
    <w:rsid w:val="005C09F1"/>
    <w:rsid w:val="005C0B01"/>
    <w:rsid w:val="005C1CF3"/>
    <w:rsid w:val="005C37A8"/>
    <w:rsid w:val="005C3B0D"/>
    <w:rsid w:val="005C4B2D"/>
    <w:rsid w:val="005C5BC2"/>
    <w:rsid w:val="005C72E9"/>
    <w:rsid w:val="005C79F4"/>
    <w:rsid w:val="005D0472"/>
    <w:rsid w:val="005D163E"/>
    <w:rsid w:val="005D33A6"/>
    <w:rsid w:val="005D4199"/>
    <w:rsid w:val="005D4D03"/>
    <w:rsid w:val="005D5292"/>
    <w:rsid w:val="005D5470"/>
    <w:rsid w:val="005D637B"/>
    <w:rsid w:val="005D6B93"/>
    <w:rsid w:val="005E0829"/>
    <w:rsid w:val="005E14F6"/>
    <w:rsid w:val="005E162C"/>
    <w:rsid w:val="005E26A1"/>
    <w:rsid w:val="005E2B12"/>
    <w:rsid w:val="005E2D33"/>
    <w:rsid w:val="005E3651"/>
    <w:rsid w:val="005E43ED"/>
    <w:rsid w:val="005E449C"/>
    <w:rsid w:val="005E494F"/>
    <w:rsid w:val="005E5312"/>
    <w:rsid w:val="005E588E"/>
    <w:rsid w:val="005E5B8D"/>
    <w:rsid w:val="005E5F0F"/>
    <w:rsid w:val="005E695B"/>
    <w:rsid w:val="005F0E22"/>
    <w:rsid w:val="005F1547"/>
    <w:rsid w:val="005F1604"/>
    <w:rsid w:val="005F24F4"/>
    <w:rsid w:val="005F2903"/>
    <w:rsid w:val="005F31D7"/>
    <w:rsid w:val="005F3AA3"/>
    <w:rsid w:val="005F537F"/>
    <w:rsid w:val="005F5931"/>
    <w:rsid w:val="005F7D07"/>
    <w:rsid w:val="0060020D"/>
    <w:rsid w:val="00600CC8"/>
    <w:rsid w:val="00602794"/>
    <w:rsid w:val="00602CF4"/>
    <w:rsid w:val="00604135"/>
    <w:rsid w:val="006058CB"/>
    <w:rsid w:val="00605AFB"/>
    <w:rsid w:val="0060733C"/>
    <w:rsid w:val="00607C36"/>
    <w:rsid w:val="0061140B"/>
    <w:rsid w:val="00613453"/>
    <w:rsid w:val="0061470B"/>
    <w:rsid w:val="00614908"/>
    <w:rsid w:val="00615029"/>
    <w:rsid w:val="00616593"/>
    <w:rsid w:val="00616758"/>
    <w:rsid w:val="00616AE1"/>
    <w:rsid w:val="006179F7"/>
    <w:rsid w:val="00617F6B"/>
    <w:rsid w:val="0062067C"/>
    <w:rsid w:val="006214AD"/>
    <w:rsid w:val="0062541F"/>
    <w:rsid w:val="00625863"/>
    <w:rsid w:val="006260E5"/>
    <w:rsid w:val="0062683F"/>
    <w:rsid w:val="00627B69"/>
    <w:rsid w:val="00633754"/>
    <w:rsid w:val="006348F4"/>
    <w:rsid w:val="006358BE"/>
    <w:rsid w:val="00635B89"/>
    <w:rsid w:val="00635E85"/>
    <w:rsid w:val="00636C4C"/>
    <w:rsid w:val="00636E4B"/>
    <w:rsid w:val="006371FF"/>
    <w:rsid w:val="00643DD9"/>
    <w:rsid w:val="00644A75"/>
    <w:rsid w:val="006452B6"/>
    <w:rsid w:val="00645B41"/>
    <w:rsid w:val="006472A0"/>
    <w:rsid w:val="00651287"/>
    <w:rsid w:val="00651512"/>
    <w:rsid w:val="00653665"/>
    <w:rsid w:val="00653E27"/>
    <w:rsid w:val="00654956"/>
    <w:rsid w:val="00654DE7"/>
    <w:rsid w:val="0065533C"/>
    <w:rsid w:val="00656340"/>
    <w:rsid w:val="00656A9D"/>
    <w:rsid w:val="00656F5E"/>
    <w:rsid w:val="00660D19"/>
    <w:rsid w:val="00662CBC"/>
    <w:rsid w:val="0066449E"/>
    <w:rsid w:val="0067038D"/>
    <w:rsid w:val="00671A6A"/>
    <w:rsid w:val="00673F0C"/>
    <w:rsid w:val="00676223"/>
    <w:rsid w:val="00676A38"/>
    <w:rsid w:val="00680098"/>
    <w:rsid w:val="00680333"/>
    <w:rsid w:val="00680957"/>
    <w:rsid w:val="006821CE"/>
    <w:rsid w:val="00682CFC"/>
    <w:rsid w:val="00683B13"/>
    <w:rsid w:val="00686325"/>
    <w:rsid w:val="00686EC4"/>
    <w:rsid w:val="00687063"/>
    <w:rsid w:val="00687C14"/>
    <w:rsid w:val="00690E37"/>
    <w:rsid w:val="00691425"/>
    <w:rsid w:val="006955A5"/>
    <w:rsid w:val="00695E17"/>
    <w:rsid w:val="00696763"/>
    <w:rsid w:val="0069734A"/>
    <w:rsid w:val="006A139A"/>
    <w:rsid w:val="006A1939"/>
    <w:rsid w:val="006A303A"/>
    <w:rsid w:val="006A45A4"/>
    <w:rsid w:val="006A5C3E"/>
    <w:rsid w:val="006A5CC0"/>
    <w:rsid w:val="006A5DF0"/>
    <w:rsid w:val="006B0367"/>
    <w:rsid w:val="006B06E6"/>
    <w:rsid w:val="006B147C"/>
    <w:rsid w:val="006B1E00"/>
    <w:rsid w:val="006B202A"/>
    <w:rsid w:val="006B3AD9"/>
    <w:rsid w:val="006B3E3B"/>
    <w:rsid w:val="006B4199"/>
    <w:rsid w:val="006B4802"/>
    <w:rsid w:val="006B5097"/>
    <w:rsid w:val="006B5516"/>
    <w:rsid w:val="006B5D36"/>
    <w:rsid w:val="006B7A09"/>
    <w:rsid w:val="006C42CE"/>
    <w:rsid w:val="006C4DE9"/>
    <w:rsid w:val="006C5486"/>
    <w:rsid w:val="006C592D"/>
    <w:rsid w:val="006C5D93"/>
    <w:rsid w:val="006C74B3"/>
    <w:rsid w:val="006D096A"/>
    <w:rsid w:val="006D209C"/>
    <w:rsid w:val="006D3791"/>
    <w:rsid w:val="006D45C7"/>
    <w:rsid w:val="006D465F"/>
    <w:rsid w:val="006D46A6"/>
    <w:rsid w:val="006D4B56"/>
    <w:rsid w:val="006D7209"/>
    <w:rsid w:val="006D7EFF"/>
    <w:rsid w:val="006E11C9"/>
    <w:rsid w:val="006E31AE"/>
    <w:rsid w:val="006E4984"/>
    <w:rsid w:val="006E5E71"/>
    <w:rsid w:val="006E7EFC"/>
    <w:rsid w:val="006F0A6C"/>
    <w:rsid w:val="006F32BF"/>
    <w:rsid w:val="006F3567"/>
    <w:rsid w:val="006F38A2"/>
    <w:rsid w:val="006F38F6"/>
    <w:rsid w:val="006F3989"/>
    <w:rsid w:val="006F4219"/>
    <w:rsid w:val="006F55D6"/>
    <w:rsid w:val="006F575A"/>
    <w:rsid w:val="00700449"/>
    <w:rsid w:val="00700A73"/>
    <w:rsid w:val="00700F46"/>
    <w:rsid w:val="007015E9"/>
    <w:rsid w:val="00702A10"/>
    <w:rsid w:val="0070484E"/>
    <w:rsid w:val="00704ED8"/>
    <w:rsid w:val="0070601C"/>
    <w:rsid w:val="00707008"/>
    <w:rsid w:val="00710993"/>
    <w:rsid w:val="007125C7"/>
    <w:rsid w:val="00712884"/>
    <w:rsid w:val="00713C6D"/>
    <w:rsid w:val="00714D9B"/>
    <w:rsid w:val="00715090"/>
    <w:rsid w:val="00715379"/>
    <w:rsid w:val="0071587A"/>
    <w:rsid w:val="007159EB"/>
    <w:rsid w:val="007160E0"/>
    <w:rsid w:val="00716E3F"/>
    <w:rsid w:val="00717DE7"/>
    <w:rsid w:val="00720629"/>
    <w:rsid w:val="00720B16"/>
    <w:rsid w:val="007219C5"/>
    <w:rsid w:val="00721B5C"/>
    <w:rsid w:val="007223FC"/>
    <w:rsid w:val="00723E51"/>
    <w:rsid w:val="00725B78"/>
    <w:rsid w:val="00725F23"/>
    <w:rsid w:val="007267EB"/>
    <w:rsid w:val="0072737A"/>
    <w:rsid w:val="00730159"/>
    <w:rsid w:val="00730C0D"/>
    <w:rsid w:val="0073129C"/>
    <w:rsid w:val="00731C60"/>
    <w:rsid w:val="00731D68"/>
    <w:rsid w:val="007339DB"/>
    <w:rsid w:val="00735608"/>
    <w:rsid w:val="007356FC"/>
    <w:rsid w:val="00735CE3"/>
    <w:rsid w:val="00736DD5"/>
    <w:rsid w:val="0074101E"/>
    <w:rsid w:val="0074150A"/>
    <w:rsid w:val="00741FEC"/>
    <w:rsid w:val="007433D3"/>
    <w:rsid w:val="00743A86"/>
    <w:rsid w:val="00743F1B"/>
    <w:rsid w:val="00743F6E"/>
    <w:rsid w:val="0074430F"/>
    <w:rsid w:val="007448B9"/>
    <w:rsid w:val="007468E9"/>
    <w:rsid w:val="00746BED"/>
    <w:rsid w:val="00747D71"/>
    <w:rsid w:val="00750288"/>
    <w:rsid w:val="00751BF1"/>
    <w:rsid w:val="007537F1"/>
    <w:rsid w:val="007545CD"/>
    <w:rsid w:val="007549E4"/>
    <w:rsid w:val="00755E18"/>
    <w:rsid w:val="00756643"/>
    <w:rsid w:val="007567FF"/>
    <w:rsid w:val="00756DA9"/>
    <w:rsid w:val="0075794D"/>
    <w:rsid w:val="007608C8"/>
    <w:rsid w:val="00761696"/>
    <w:rsid w:val="007616B5"/>
    <w:rsid w:val="00761834"/>
    <w:rsid w:val="00761D56"/>
    <w:rsid w:val="007620D8"/>
    <w:rsid w:val="007631A8"/>
    <w:rsid w:val="0076420A"/>
    <w:rsid w:val="0076492F"/>
    <w:rsid w:val="0076493D"/>
    <w:rsid w:val="00764D0F"/>
    <w:rsid w:val="00764ED5"/>
    <w:rsid w:val="007665AE"/>
    <w:rsid w:val="007665E7"/>
    <w:rsid w:val="00766AE8"/>
    <w:rsid w:val="00767809"/>
    <w:rsid w:val="00773845"/>
    <w:rsid w:val="007745B6"/>
    <w:rsid w:val="0077605D"/>
    <w:rsid w:val="0077746C"/>
    <w:rsid w:val="007806D6"/>
    <w:rsid w:val="00780896"/>
    <w:rsid w:val="00780E48"/>
    <w:rsid w:val="00780FF2"/>
    <w:rsid w:val="007815A1"/>
    <w:rsid w:val="00783BF6"/>
    <w:rsid w:val="00784BA7"/>
    <w:rsid w:val="0078501F"/>
    <w:rsid w:val="00785229"/>
    <w:rsid w:val="0079186B"/>
    <w:rsid w:val="007919EE"/>
    <w:rsid w:val="0079267C"/>
    <w:rsid w:val="00792A9A"/>
    <w:rsid w:val="00792B29"/>
    <w:rsid w:val="00793312"/>
    <w:rsid w:val="0079391A"/>
    <w:rsid w:val="007943E6"/>
    <w:rsid w:val="00794B5C"/>
    <w:rsid w:val="00794C7A"/>
    <w:rsid w:val="00796A9E"/>
    <w:rsid w:val="00796D05"/>
    <w:rsid w:val="00797687"/>
    <w:rsid w:val="007A0BE3"/>
    <w:rsid w:val="007A25AF"/>
    <w:rsid w:val="007A2AE9"/>
    <w:rsid w:val="007A2DEB"/>
    <w:rsid w:val="007A30A5"/>
    <w:rsid w:val="007A568E"/>
    <w:rsid w:val="007A5FB9"/>
    <w:rsid w:val="007A651C"/>
    <w:rsid w:val="007A664A"/>
    <w:rsid w:val="007A6E4F"/>
    <w:rsid w:val="007A70C6"/>
    <w:rsid w:val="007A7382"/>
    <w:rsid w:val="007A7FF2"/>
    <w:rsid w:val="007B11D0"/>
    <w:rsid w:val="007B189F"/>
    <w:rsid w:val="007B1CB5"/>
    <w:rsid w:val="007B27E9"/>
    <w:rsid w:val="007B2987"/>
    <w:rsid w:val="007B39E1"/>
    <w:rsid w:val="007B6A8F"/>
    <w:rsid w:val="007B70D3"/>
    <w:rsid w:val="007B7D10"/>
    <w:rsid w:val="007C1116"/>
    <w:rsid w:val="007C12D9"/>
    <w:rsid w:val="007C3AA6"/>
    <w:rsid w:val="007C4B93"/>
    <w:rsid w:val="007C4EF2"/>
    <w:rsid w:val="007C55D4"/>
    <w:rsid w:val="007D093F"/>
    <w:rsid w:val="007D0BE8"/>
    <w:rsid w:val="007D0D6D"/>
    <w:rsid w:val="007D283E"/>
    <w:rsid w:val="007D36CA"/>
    <w:rsid w:val="007D4C02"/>
    <w:rsid w:val="007D5920"/>
    <w:rsid w:val="007D6496"/>
    <w:rsid w:val="007D6731"/>
    <w:rsid w:val="007D6837"/>
    <w:rsid w:val="007D7001"/>
    <w:rsid w:val="007D782F"/>
    <w:rsid w:val="007D7E87"/>
    <w:rsid w:val="007E0FEC"/>
    <w:rsid w:val="007E1666"/>
    <w:rsid w:val="007E1ECC"/>
    <w:rsid w:val="007E2A09"/>
    <w:rsid w:val="007E40DD"/>
    <w:rsid w:val="007E4D5F"/>
    <w:rsid w:val="007E52BF"/>
    <w:rsid w:val="007E554E"/>
    <w:rsid w:val="007E594F"/>
    <w:rsid w:val="007E5A59"/>
    <w:rsid w:val="007E71DB"/>
    <w:rsid w:val="007E7C73"/>
    <w:rsid w:val="007F0225"/>
    <w:rsid w:val="007F0AC8"/>
    <w:rsid w:val="007F10CE"/>
    <w:rsid w:val="007F167C"/>
    <w:rsid w:val="007F2066"/>
    <w:rsid w:val="007F2B93"/>
    <w:rsid w:val="007F4005"/>
    <w:rsid w:val="007F64E9"/>
    <w:rsid w:val="007F7D89"/>
    <w:rsid w:val="007F7EFE"/>
    <w:rsid w:val="007F7F51"/>
    <w:rsid w:val="0080100B"/>
    <w:rsid w:val="008014A8"/>
    <w:rsid w:val="00801BBC"/>
    <w:rsid w:val="00802320"/>
    <w:rsid w:val="00802684"/>
    <w:rsid w:val="00804380"/>
    <w:rsid w:val="00804490"/>
    <w:rsid w:val="00806655"/>
    <w:rsid w:val="008066E5"/>
    <w:rsid w:val="00806B2A"/>
    <w:rsid w:val="0080705A"/>
    <w:rsid w:val="008071EA"/>
    <w:rsid w:val="00810DA4"/>
    <w:rsid w:val="00813597"/>
    <w:rsid w:val="00813D3B"/>
    <w:rsid w:val="00814A29"/>
    <w:rsid w:val="00823846"/>
    <w:rsid w:val="008259B8"/>
    <w:rsid w:val="00825ADA"/>
    <w:rsid w:val="00825DEA"/>
    <w:rsid w:val="0082667C"/>
    <w:rsid w:val="008266E5"/>
    <w:rsid w:val="008269BB"/>
    <w:rsid w:val="00827362"/>
    <w:rsid w:val="008279A8"/>
    <w:rsid w:val="00827CE5"/>
    <w:rsid w:val="00827E59"/>
    <w:rsid w:val="0083160C"/>
    <w:rsid w:val="00832029"/>
    <w:rsid w:val="00832787"/>
    <w:rsid w:val="0083338A"/>
    <w:rsid w:val="00833923"/>
    <w:rsid w:val="0083465D"/>
    <w:rsid w:val="00834CDA"/>
    <w:rsid w:val="0083532F"/>
    <w:rsid w:val="008362EF"/>
    <w:rsid w:val="008367C0"/>
    <w:rsid w:val="00840F68"/>
    <w:rsid w:val="00843EBB"/>
    <w:rsid w:val="008443EB"/>
    <w:rsid w:val="00844E1C"/>
    <w:rsid w:val="00845002"/>
    <w:rsid w:val="008465EC"/>
    <w:rsid w:val="00847A9C"/>
    <w:rsid w:val="008528BA"/>
    <w:rsid w:val="00853C7D"/>
    <w:rsid w:val="00854421"/>
    <w:rsid w:val="00855674"/>
    <w:rsid w:val="00855C9D"/>
    <w:rsid w:val="008611EC"/>
    <w:rsid w:val="0086291A"/>
    <w:rsid w:val="00862D4F"/>
    <w:rsid w:val="00867BD0"/>
    <w:rsid w:val="00870112"/>
    <w:rsid w:val="00871456"/>
    <w:rsid w:val="00871856"/>
    <w:rsid w:val="00872ABA"/>
    <w:rsid w:val="00872FCE"/>
    <w:rsid w:val="00873D82"/>
    <w:rsid w:val="00874290"/>
    <w:rsid w:val="00874D57"/>
    <w:rsid w:val="00874EBD"/>
    <w:rsid w:val="008750A3"/>
    <w:rsid w:val="008761FC"/>
    <w:rsid w:val="00877D2F"/>
    <w:rsid w:val="008800C1"/>
    <w:rsid w:val="0088062E"/>
    <w:rsid w:val="00881137"/>
    <w:rsid w:val="00882559"/>
    <w:rsid w:val="00882933"/>
    <w:rsid w:val="00883A75"/>
    <w:rsid w:val="00883F98"/>
    <w:rsid w:val="00884396"/>
    <w:rsid w:val="008843FC"/>
    <w:rsid w:val="00885E0F"/>
    <w:rsid w:val="008862BD"/>
    <w:rsid w:val="008863E8"/>
    <w:rsid w:val="00886400"/>
    <w:rsid w:val="008917E7"/>
    <w:rsid w:val="008941BE"/>
    <w:rsid w:val="008947CF"/>
    <w:rsid w:val="008962E9"/>
    <w:rsid w:val="0089642E"/>
    <w:rsid w:val="0089653C"/>
    <w:rsid w:val="00896CA9"/>
    <w:rsid w:val="008A0D19"/>
    <w:rsid w:val="008A0DE6"/>
    <w:rsid w:val="008A1FF5"/>
    <w:rsid w:val="008A233D"/>
    <w:rsid w:val="008A237E"/>
    <w:rsid w:val="008A3BD1"/>
    <w:rsid w:val="008A447D"/>
    <w:rsid w:val="008A4AF5"/>
    <w:rsid w:val="008A4EFA"/>
    <w:rsid w:val="008A62A5"/>
    <w:rsid w:val="008A791B"/>
    <w:rsid w:val="008A7E2E"/>
    <w:rsid w:val="008B0488"/>
    <w:rsid w:val="008B3124"/>
    <w:rsid w:val="008B3B4B"/>
    <w:rsid w:val="008B5749"/>
    <w:rsid w:val="008B6744"/>
    <w:rsid w:val="008B72A5"/>
    <w:rsid w:val="008B7762"/>
    <w:rsid w:val="008C0421"/>
    <w:rsid w:val="008C0B42"/>
    <w:rsid w:val="008C1918"/>
    <w:rsid w:val="008C1A51"/>
    <w:rsid w:val="008C2A4A"/>
    <w:rsid w:val="008C2F29"/>
    <w:rsid w:val="008C4AD0"/>
    <w:rsid w:val="008C6B30"/>
    <w:rsid w:val="008C7E4D"/>
    <w:rsid w:val="008D087D"/>
    <w:rsid w:val="008D3033"/>
    <w:rsid w:val="008D493B"/>
    <w:rsid w:val="008D4A7C"/>
    <w:rsid w:val="008D51DA"/>
    <w:rsid w:val="008D53A9"/>
    <w:rsid w:val="008D5615"/>
    <w:rsid w:val="008D5F0D"/>
    <w:rsid w:val="008D683A"/>
    <w:rsid w:val="008D6F1D"/>
    <w:rsid w:val="008E0359"/>
    <w:rsid w:val="008E0805"/>
    <w:rsid w:val="008E0FFB"/>
    <w:rsid w:val="008E25B1"/>
    <w:rsid w:val="008E2B4D"/>
    <w:rsid w:val="008E3094"/>
    <w:rsid w:val="008E3295"/>
    <w:rsid w:val="008E55EA"/>
    <w:rsid w:val="008E5926"/>
    <w:rsid w:val="008E75C5"/>
    <w:rsid w:val="008E7887"/>
    <w:rsid w:val="008E7E6E"/>
    <w:rsid w:val="008F1194"/>
    <w:rsid w:val="008F1884"/>
    <w:rsid w:val="008F1AD8"/>
    <w:rsid w:val="008F237A"/>
    <w:rsid w:val="008F2796"/>
    <w:rsid w:val="008F34D3"/>
    <w:rsid w:val="008F63EB"/>
    <w:rsid w:val="008F6A2F"/>
    <w:rsid w:val="008F6B5E"/>
    <w:rsid w:val="008F755E"/>
    <w:rsid w:val="008F79D0"/>
    <w:rsid w:val="009008B1"/>
    <w:rsid w:val="00901DB3"/>
    <w:rsid w:val="00902015"/>
    <w:rsid w:val="00903531"/>
    <w:rsid w:val="00904A65"/>
    <w:rsid w:val="00905793"/>
    <w:rsid w:val="00907263"/>
    <w:rsid w:val="009073CE"/>
    <w:rsid w:val="00910C58"/>
    <w:rsid w:val="0091161D"/>
    <w:rsid w:val="009123F6"/>
    <w:rsid w:val="00913E2A"/>
    <w:rsid w:val="0091468D"/>
    <w:rsid w:val="0091475E"/>
    <w:rsid w:val="00914F38"/>
    <w:rsid w:val="009163B6"/>
    <w:rsid w:val="00916B61"/>
    <w:rsid w:val="00917ED2"/>
    <w:rsid w:val="00917F42"/>
    <w:rsid w:val="009205E3"/>
    <w:rsid w:val="009217A9"/>
    <w:rsid w:val="00922F29"/>
    <w:rsid w:val="009231E6"/>
    <w:rsid w:val="00924303"/>
    <w:rsid w:val="00924926"/>
    <w:rsid w:val="00924ED9"/>
    <w:rsid w:val="0092594C"/>
    <w:rsid w:val="00926954"/>
    <w:rsid w:val="009277E9"/>
    <w:rsid w:val="00927A03"/>
    <w:rsid w:val="0093042C"/>
    <w:rsid w:val="00931316"/>
    <w:rsid w:val="009315B3"/>
    <w:rsid w:val="00933086"/>
    <w:rsid w:val="00933611"/>
    <w:rsid w:val="0093478E"/>
    <w:rsid w:val="00934A0F"/>
    <w:rsid w:val="00934ABD"/>
    <w:rsid w:val="00934FDD"/>
    <w:rsid w:val="009364C0"/>
    <w:rsid w:val="00937ED6"/>
    <w:rsid w:val="00940452"/>
    <w:rsid w:val="009406E7"/>
    <w:rsid w:val="00940B04"/>
    <w:rsid w:val="00944575"/>
    <w:rsid w:val="00944AB3"/>
    <w:rsid w:val="009465F6"/>
    <w:rsid w:val="009469A2"/>
    <w:rsid w:val="00950141"/>
    <w:rsid w:val="00950FC7"/>
    <w:rsid w:val="00951D07"/>
    <w:rsid w:val="00952A3E"/>
    <w:rsid w:val="00953FB3"/>
    <w:rsid w:val="0095455D"/>
    <w:rsid w:val="0095482D"/>
    <w:rsid w:val="009563AA"/>
    <w:rsid w:val="00957BED"/>
    <w:rsid w:val="0096004E"/>
    <w:rsid w:val="009623A4"/>
    <w:rsid w:val="00962AE7"/>
    <w:rsid w:val="00963229"/>
    <w:rsid w:val="0096515A"/>
    <w:rsid w:val="0096573E"/>
    <w:rsid w:val="00965C79"/>
    <w:rsid w:val="009662F5"/>
    <w:rsid w:val="00966601"/>
    <w:rsid w:val="00967094"/>
    <w:rsid w:val="00970079"/>
    <w:rsid w:val="009700A9"/>
    <w:rsid w:val="00970A79"/>
    <w:rsid w:val="00973C9C"/>
    <w:rsid w:val="009752BD"/>
    <w:rsid w:val="009758CF"/>
    <w:rsid w:val="00976C9C"/>
    <w:rsid w:val="00976CF4"/>
    <w:rsid w:val="009835C4"/>
    <w:rsid w:val="00983B0F"/>
    <w:rsid w:val="00984E05"/>
    <w:rsid w:val="00985554"/>
    <w:rsid w:val="00985A65"/>
    <w:rsid w:val="0098672A"/>
    <w:rsid w:val="00987830"/>
    <w:rsid w:val="00990141"/>
    <w:rsid w:val="00990D6F"/>
    <w:rsid w:val="0099131F"/>
    <w:rsid w:val="0099157D"/>
    <w:rsid w:val="00993A67"/>
    <w:rsid w:val="00994D7F"/>
    <w:rsid w:val="009962A0"/>
    <w:rsid w:val="0099644E"/>
    <w:rsid w:val="00996F8C"/>
    <w:rsid w:val="009A0627"/>
    <w:rsid w:val="009A44CB"/>
    <w:rsid w:val="009A454D"/>
    <w:rsid w:val="009A472B"/>
    <w:rsid w:val="009A5C14"/>
    <w:rsid w:val="009A5EC8"/>
    <w:rsid w:val="009A6141"/>
    <w:rsid w:val="009A750A"/>
    <w:rsid w:val="009A7763"/>
    <w:rsid w:val="009A7A9E"/>
    <w:rsid w:val="009A7B95"/>
    <w:rsid w:val="009B05E8"/>
    <w:rsid w:val="009B05F1"/>
    <w:rsid w:val="009B126C"/>
    <w:rsid w:val="009B19B4"/>
    <w:rsid w:val="009B2CF2"/>
    <w:rsid w:val="009B3751"/>
    <w:rsid w:val="009B45E7"/>
    <w:rsid w:val="009B493A"/>
    <w:rsid w:val="009B4DE3"/>
    <w:rsid w:val="009B537A"/>
    <w:rsid w:val="009B62CB"/>
    <w:rsid w:val="009B6612"/>
    <w:rsid w:val="009B6A55"/>
    <w:rsid w:val="009B7481"/>
    <w:rsid w:val="009B751A"/>
    <w:rsid w:val="009C02BD"/>
    <w:rsid w:val="009C158C"/>
    <w:rsid w:val="009C196E"/>
    <w:rsid w:val="009C2F04"/>
    <w:rsid w:val="009C3B52"/>
    <w:rsid w:val="009C4A6F"/>
    <w:rsid w:val="009C55F9"/>
    <w:rsid w:val="009C6025"/>
    <w:rsid w:val="009C7197"/>
    <w:rsid w:val="009D161B"/>
    <w:rsid w:val="009D18A0"/>
    <w:rsid w:val="009D1EF0"/>
    <w:rsid w:val="009D478F"/>
    <w:rsid w:val="009D479C"/>
    <w:rsid w:val="009D5125"/>
    <w:rsid w:val="009D545D"/>
    <w:rsid w:val="009D6126"/>
    <w:rsid w:val="009D705F"/>
    <w:rsid w:val="009D707E"/>
    <w:rsid w:val="009D7772"/>
    <w:rsid w:val="009D7E79"/>
    <w:rsid w:val="009E1143"/>
    <w:rsid w:val="009E165F"/>
    <w:rsid w:val="009E26F3"/>
    <w:rsid w:val="009E2925"/>
    <w:rsid w:val="009E409E"/>
    <w:rsid w:val="009E4C22"/>
    <w:rsid w:val="009E63C4"/>
    <w:rsid w:val="009E7131"/>
    <w:rsid w:val="009F0065"/>
    <w:rsid w:val="009F0651"/>
    <w:rsid w:val="009F0908"/>
    <w:rsid w:val="009F1BCB"/>
    <w:rsid w:val="009F2488"/>
    <w:rsid w:val="009F3305"/>
    <w:rsid w:val="009F3650"/>
    <w:rsid w:val="009F6E81"/>
    <w:rsid w:val="009F7321"/>
    <w:rsid w:val="00A00194"/>
    <w:rsid w:val="00A001C6"/>
    <w:rsid w:val="00A00244"/>
    <w:rsid w:val="00A02BF2"/>
    <w:rsid w:val="00A031F9"/>
    <w:rsid w:val="00A03BD6"/>
    <w:rsid w:val="00A05A0B"/>
    <w:rsid w:val="00A05E0C"/>
    <w:rsid w:val="00A10C32"/>
    <w:rsid w:val="00A12FE6"/>
    <w:rsid w:val="00A14944"/>
    <w:rsid w:val="00A1714E"/>
    <w:rsid w:val="00A2017E"/>
    <w:rsid w:val="00A2337E"/>
    <w:rsid w:val="00A24A28"/>
    <w:rsid w:val="00A24B21"/>
    <w:rsid w:val="00A24FA6"/>
    <w:rsid w:val="00A253E4"/>
    <w:rsid w:val="00A2547A"/>
    <w:rsid w:val="00A261BA"/>
    <w:rsid w:val="00A27C2D"/>
    <w:rsid w:val="00A33A71"/>
    <w:rsid w:val="00A33CBD"/>
    <w:rsid w:val="00A343D4"/>
    <w:rsid w:val="00A403A8"/>
    <w:rsid w:val="00A404B2"/>
    <w:rsid w:val="00A406D2"/>
    <w:rsid w:val="00A41764"/>
    <w:rsid w:val="00A41901"/>
    <w:rsid w:val="00A41B44"/>
    <w:rsid w:val="00A41C86"/>
    <w:rsid w:val="00A428F3"/>
    <w:rsid w:val="00A42F93"/>
    <w:rsid w:val="00A44630"/>
    <w:rsid w:val="00A446D4"/>
    <w:rsid w:val="00A44AC4"/>
    <w:rsid w:val="00A4582E"/>
    <w:rsid w:val="00A466C5"/>
    <w:rsid w:val="00A472C5"/>
    <w:rsid w:val="00A50CD1"/>
    <w:rsid w:val="00A513F1"/>
    <w:rsid w:val="00A528CC"/>
    <w:rsid w:val="00A52EF0"/>
    <w:rsid w:val="00A53DF9"/>
    <w:rsid w:val="00A5472F"/>
    <w:rsid w:val="00A54C4F"/>
    <w:rsid w:val="00A560DE"/>
    <w:rsid w:val="00A565E9"/>
    <w:rsid w:val="00A56F02"/>
    <w:rsid w:val="00A57FD5"/>
    <w:rsid w:val="00A60463"/>
    <w:rsid w:val="00A60D31"/>
    <w:rsid w:val="00A61A8A"/>
    <w:rsid w:val="00A61B87"/>
    <w:rsid w:val="00A62028"/>
    <w:rsid w:val="00A628D7"/>
    <w:rsid w:val="00A6320B"/>
    <w:rsid w:val="00A6444C"/>
    <w:rsid w:val="00A64491"/>
    <w:rsid w:val="00A65141"/>
    <w:rsid w:val="00A66485"/>
    <w:rsid w:val="00A66DA4"/>
    <w:rsid w:val="00A71874"/>
    <w:rsid w:val="00A74126"/>
    <w:rsid w:val="00A7441C"/>
    <w:rsid w:val="00A75036"/>
    <w:rsid w:val="00A7606A"/>
    <w:rsid w:val="00A7702A"/>
    <w:rsid w:val="00A80332"/>
    <w:rsid w:val="00A80AA1"/>
    <w:rsid w:val="00A80D18"/>
    <w:rsid w:val="00A80DE6"/>
    <w:rsid w:val="00A82149"/>
    <w:rsid w:val="00A8228B"/>
    <w:rsid w:val="00A82C28"/>
    <w:rsid w:val="00A84413"/>
    <w:rsid w:val="00A85069"/>
    <w:rsid w:val="00A851D3"/>
    <w:rsid w:val="00A85C99"/>
    <w:rsid w:val="00A85E2E"/>
    <w:rsid w:val="00A86059"/>
    <w:rsid w:val="00A8682A"/>
    <w:rsid w:val="00A87275"/>
    <w:rsid w:val="00A877EA"/>
    <w:rsid w:val="00A90434"/>
    <w:rsid w:val="00A90848"/>
    <w:rsid w:val="00A90ADF"/>
    <w:rsid w:val="00A90D5D"/>
    <w:rsid w:val="00A919A8"/>
    <w:rsid w:val="00A94817"/>
    <w:rsid w:val="00A95E04"/>
    <w:rsid w:val="00A9702D"/>
    <w:rsid w:val="00AA09CE"/>
    <w:rsid w:val="00AA109A"/>
    <w:rsid w:val="00AA184D"/>
    <w:rsid w:val="00AA21D4"/>
    <w:rsid w:val="00AA242A"/>
    <w:rsid w:val="00AA3ADF"/>
    <w:rsid w:val="00AA4945"/>
    <w:rsid w:val="00AA4E30"/>
    <w:rsid w:val="00AA4F18"/>
    <w:rsid w:val="00AA7490"/>
    <w:rsid w:val="00AA7EB9"/>
    <w:rsid w:val="00AB0321"/>
    <w:rsid w:val="00AB21EA"/>
    <w:rsid w:val="00AB29DA"/>
    <w:rsid w:val="00AB2D5C"/>
    <w:rsid w:val="00AB30C4"/>
    <w:rsid w:val="00AB38FC"/>
    <w:rsid w:val="00AB3BFD"/>
    <w:rsid w:val="00AB4582"/>
    <w:rsid w:val="00AB4664"/>
    <w:rsid w:val="00AB51C0"/>
    <w:rsid w:val="00AB538D"/>
    <w:rsid w:val="00AB70F7"/>
    <w:rsid w:val="00AC078F"/>
    <w:rsid w:val="00AC12F5"/>
    <w:rsid w:val="00AC2A9D"/>
    <w:rsid w:val="00AC56CE"/>
    <w:rsid w:val="00AC59CF"/>
    <w:rsid w:val="00AC604F"/>
    <w:rsid w:val="00AC71B2"/>
    <w:rsid w:val="00AC79C0"/>
    <w:rsid w:val="00AC7EE4"/>
    <w:rsid w:val="00AD240B"/>
    <w:rsid w:val="00AD2F15"/>
    <w:rsid w:val="00AD34FD"/>
    <w:rsid w:val="00AD4224"/>
    <w:rsid w:val="00AD4E75"/>
    <w:rsid w:val="00AD5D5A"/>
    <w:rsid w:val="00AD6DC7"/>
    <w:rsid w:val="00AD74C8"/>
    <w:rsid w:val="00AE047F"/>
    <w:rsid w:val="00AE3181"/>
    <w:rsid w:val="00AE357C"/>
    <w:rsid w:val="00AE3F94"/>
    <w:rsid w:val="00AE5FAD"/>
    <w:rsid w:val="00AE6795"/>
    <w:rsid w:val="00AE6CB3"/>
    <w:rsid w:val="00AE6ED6"/>
    <w:rsid w:val="00AE7EDF"/>
    <w:rsid w:val="00AF07F9"/>
    <w:rsid w:val="00AF165B"/>
    <w:rsid w:val="00AF16C9"/>
    <w:rsid w:val="00AF3257"/>
    <w:rsid w:val="00AF4186"/>
    <w:rsid w:val="00AF4323"/>
    <w:rsid w:val="00AF4AF8"/>
    <w:rsid w:val="00AF59DA"/>
    <w:rsid w:val="00B006E7"/>
    <w:rsid w:val="00B01969"/>
    <w:rsid w:val="00B02FCB"/>
    <w:rsid w:val="00B04BED"/>
    <w:rsid w:val="00B07347"/>
    <w:rsid w:val="00B10470"/>
    <w:rsid w:val="00B10AEC"/>
    <w:rsid w:val="00B11E89"/>
    <w:rsid w:val="00B12515"/>
    <w:rsid w:val="00B1367C"/>
    <w:rsid w:val="00B14BD4"/>
    <w:rsid w:val="00B16963"/>
    <w:rsid w:val="00B1774E"/>
    <w:rsid w:val="00B2034E"/>
    <w:rsid w:val="00B2044E"/>
    <w:rsid w:val="00B21DE8"/>
    <w:rsid w:val="00B234B3"/>
    <w:rsid w:val="00B24FA2"/>
    <w:rsid w:val="00B25E60"/>
    <w:rsid w:val="00B26121"/>
    <w:rsid w:val="00B27C22"/>
    <w:rsid w:val="00B27D31"/>
    <w:rsid w:val="00B30BB7"/>
    <w:rsid w:val="00B3130A"/>
    <w:rsid w:val="00B320FF"/>
    <w:rsid w:val="00B32385"/>
    <w:rsid w:val="00B32B9E"/>
    <w:rsid w:val="00B32FB1"/>
    <w:rsid w:val="00B350EC"/>
    <w:rsid w:val="00B35AFE"/>
    <w:rsid w:val="00B40329"/>
    <w:rsid w:val="00B40B8D"/>
    <w:rsid w:val="00B4103B"/>
    <w:rsid w:val="00B422E2"/>
    <w:rsid w:val="00B432A2"/>
    <w:rsid w:val="00B4416E"/>
    <w:rsid w:val="00B45440"/>
    <w:rsid w:val="00B4724A"/>
    <w:rsid w:val="00B5219A"/>
    <w:rsid w:val="00B53BE1"/>
    <w:rsid w:val="00B5466A"/>
    <w:rsid w:val="00B546E5"/>
    <w:rsid w:val="00B54E07"/>
    <w:rsid w:val="00B54EBB"/>
    <w:rsid w:val="00B565C8"/>
    <w:rsid w:val="00B575ED"/>
    <w:rsid w:val="00B57F78"/>
    <w:rsid w:val="00B62F9E"/>
    <w:rsid w:val="00B6326B"/>
    <w:rsid w:val="00B652B5"/>
    <w:rsid w:val="00B66F7A"/>
    <w:rsid w:val="00B67C43"/>
    <w:rsid w:val="00B67ED0"/>
    <w:rsid w:val="00B70E53"/>
    <w:rsid w:val="00B71451"/>
    <w:rsid w:val="00B74278"/>
    <w:rsid w:val="00B74705"/>
    <w:rsid w:val="00B74730"/>
    <w:rsid w:val="00B75149"/>
    <w:rsid w:val="00B773C5"/>
    <w:rsid w:val="00B80201"/>
    <w:rsid w:val="00B803D6"/>
    <w:rsid w:val="00B83257"/>
    <w:rsid w:val="00B83A93"/>
    <w:rsid w:val="00B83B89"/>
    <w:rsid w:val="00B903E3"/>
    <w:rsid w:val="00B90D97"/>
    <w:rsid w:val="00B911C2"/>
    <w:rsid w:val="00B91DF8"/>
    <w:rsid w:val="00B93396"/>
    <w:rsid w:val="00B95300"/>
    <w:rsid w:val="00B9543E"/>
    <w:rsid w:val="00B9594C"/>
    <w:rsid w:val="00B969CB"/>
    <w:rsid w:val="00B96F03"/>
    <w:rsid w:val="00B9734C"/>
    <w:rsid w:val="00BA0B05"/>
    <w:rsid w:val="00BA1C6F"/>
    <w:rsid w:val="00BA314C"/>
    <w:rsid w:val="00BA52F8"/>
    <w:rsid w:val="00BA6C1F"/>
    <w:rsid w:val="00BA6D21"/>
    <w:rsid w:val="00BB1BEE"/>
    <w:rsid w:val="00BB1E94"/>
    <w:rsid w:val="00BB57F4"/>
    <w:rsid w:val="00BB64DA"/>
    <w:rsid w:val="00BB667B"/>
    <w:rsid w:val="00BB7712"/>
    <w:rsid w:val="00BC1222"/>
    <w:rsid w:val="00BC177D"/>
    <w:rsid w:val="00BC1947"/>
    <w:rsid w:val="00BC1A41"/>
    <w:rsid w:val="00BC2114"/>
    <w:rsid w:val="00BC240F"/>
    <w:rsid w:val="00BC2908"/>
    <w:rsid w:val="00BC37A5"/>
    <w:rsid w:val="00BC3FC3"/>
    <w:rsid w:val="00BC5224"/>
    <w:rsid w:val="00BC6BAB"/>
    <w:rsid w:val="00BC6FDF"/>
    <w:rsid w:val="00BC7725"/>
    <w:rsid w:val="00BC7AE4"/>
    <w:rsid w:val="00BC7D79"/>
    <w:rsid w:val="00BD0075"/>
    <w:rsid w:val="00BD02DD"/>
    <w:rsid w:val="00BD09E2"/>
    <w:rsid w:val="00BD2C45"/>
    <w:rsid w:val="00BD4A4B"/>
    <w:rsid w:val="00BD4C27"/>
    <w:rsid w:val="00BD626E"/>
    <w:rsid w:val="00BD6ABF"/>
    <w:rsid w:val="00BD6E92"/>
    <w:rsid w:val="00BD74FA"/>
    <w:rsid w:val="00BD7A22"/>
    <w:rsid w:val="00BE05BB"/>
    <w:rsid w:val="00BE0F25"/>
    <w:rsid w:val="00BE207E"/>
    <w:rsid w:val="00BE274E"/>
    <w:rsid w:val="00BE2B1B"/>
    <w:rsid w:val="00BE336C"/>
    <w:rsid w:val="00BE4D2C"/>
    <w:rsid w:val="00BE5835"/>
    <w:rsid w:val="00BE7308"/>
    <w:rsid w:val="00BE74DF"/>
    <w:rsid w:val="00BE7988"/>
    <w:rsid w:val="00BE7F6B"/>
    <w:rsid w:val="00BF0382"/>
    <w:rsid w:val="00BF082E"/>
    <w:rsid w:val="00BF0FC4"/>
    <w:rsid w:val="00BF1E0A"/>
    <w:rsid w:val="00BF27E9"/>
    <w:rsid w:val="00BF4212"/>
    <w:rsid w:val="00BF6F76"/>
    <w:rsid w:val="00C02978"/>
    <w:rsid w:val="00C034A9"/>
    <w:rsid w:val="00C03859"/>
    <w:rsid w:val="00C03DBF"/>
    <w:rsid w:val="00C04FA0"/>
    <w:rsid w:val="00C05E01"/>
    <w:rsid w:val="00C05E42"/>
    <w:rsid w:val="00C06075"/>
    <w:rsid w:val="00C063F1"/>
    <w:rsid w:val="00C078BD"/>
    <w:rsid w:val="00C11AF5"/>
    <w:rsid w:val="00C13805"/>
    <w:rsid w:val="00C15CA6"/>
    <w:rsid w:val="00C16807"/>
    <w:rsid w:val="00C2025F"/>
    <w:rsid w:val="00C214FA"/>
    <w:rsid w:val="00C2167D"/>
    <w:rsid w:val="00C21BCC"/>
    <w:rsid w:val="00C228FA"/>
    <w:rsid w:val="00C23390"/>
    <w:rsid w:val="00C23C07"/>
    <w:rsid w:val="00C2403A"/>
    <w:rsid w:val="00C24CC2"/>
    <w:rsid w:val="00C260F7"/>
    <w:rsid w:val="00C2632E"/>
    <w:rsid w:val="00C266D3"/>
    <w:rsid w:val="00C266DA"/>
    <w:rsid w:val="00C26FE9"/>
    <w:rsid w:val="00C27941"/>
    <w:rsid w:val="00C27BD3"/>
    <w:rsid w:val="00C27D03"/>
    <w:rsid w:val="00C30D8F"/>
    <w:rsid w:val="00C30ECF"/>
    <w:rsid w:val="00C31095"/>
    <w:rsid w:val="00C31607"/>
    <w:rsid w:val="00C32321"/>
    <w:rsid w:val="00C32332"/>
    <w:rsid w:val="00C349F0"/>
    <w:rsid w:val="00C34A1E"/>
    <w:rsid w:val="00C3720B"/>
    <w:rsid w:val="00C41423"/>
    <w:rsid w:val="00C41D5D"/>
    <w:rsid w:val="00C429A1"/>
    <w:rsid w:val="00C43335"/>
    <w:rsid w:val="00C4334F"/>
    <w:rsid w:val="00C4434A"/>
    <w:rsid w:val="00C44974"/>
    <w:rsid w:val="00C44E9E"/>
    <w:rsid w:val="00C46098"/>
    <w:rsid w:val="00C46439"/>
    <w:rsid w:val="00C46B32"/>
    <w:rsid w:val="00C47A26"/>
    <w:rsid w:val="00C50556"/>
    <w:rsid w:val="00C50E1F"/>
    <w:rsid w:val="00C516EC"/>
    <w:rsid w:val="00C53DC9"/>
    <w:rsid w:val="00C55526"/>
    <w:rsid w:val="00C569A6"/>
    <w:rsid w:val="00C571A9"/>
    <w:rsid w:val="00C57A73"/>
    <w:rsid w:val="00C615A7"/>
    <w:rsid w:val="00C616BF"/>
    <w:rsid w:val="00C62C5D"/>
    <w:rsid w:val="00C64873"/>
    <w:rsid w:val="00C65A0A"/>
    <w:rsid w:val="00C66628"/>
    <w:rsid w:val="00C6723F"/>
    <w:rsid w:val="00C67B39"/>
    <w:rsid w:val="00C734C0"/>
    <w:rsid w:val="00C73966"/>
    <w:rsid w:val="00C73C3D"/>
    <w:rsid w:val="00C7422F"/>
    <w:rsid w:val="00C751BF"/>
    <w:rsid w:val="00C7651A"/>
    <w:rsid w:val="00C77280"/>
    <w:rsid w:val="00C7772C"/>
    <w:rsid w:val="00C812AA"/>
    <w:rsid w:val="00C81AD1"/>
    <w:rsid w:val="00C83111"/>
    <w:rsid w:val="00C84265"/>
    <w:rsid w:val="00C84ED5"/>
    <w:rsid w:val="00C87250"/>
    <w:rsid w:val="00C9070B"/>
    <w:rsid w:val="00C941DC"/>
    <w:rsid w:val="00C94791"/>
    <w:rsid w:val="00C96465"/>
    <w:rsid w:val="00C96D0A"/>
    <w:rsid w:val="00C97EDB"/>
    <w:rsid w:val="00CA001B"/>
    <w:rsid w:val="00CA01AD"/>
    <w:rsid w:val="00CA0417"/>
    <w:rsid w:val="00CA0456"/>
    <w:rsid w:val="00CA0D73"/>
    <w:rsid w:val="00CA1A52"/>
    <w:rsid w:val="00CA2625"/>
    <w:rsid w:val="00CA2C90"/>
    <w:rsid w:val="00CA3024"/>
    <w:rsid w:val="00CA3E46"/>
    <w:rsid w:val="00CA485C"/>
    <w:rsid w:val="00CA5403"/>
    <w:rsid w:val="00CA5475"/>
    <w:rsid w:val="00CA69EC"/>
    <w:rsid w:val="00CA6FE3"/>
    <w:rsid w:val="00CA76CF"/>
    <w:rsid w:val="00CA7880"/>
    <w:rsid w:val="00CB1161"/>
    <w:rsid w:val="00CB19DA"/>
    <w:rsid w:val="00CB1BF5"/>
    <w:rsid w:val="00CB3AF4"/>
    <w:rsid w:val="00CB3F45"/>
    <w:rsid w:val="00CB40A0"/>
    <w:rsid w:val="00CB44F6"/>
    <w:rsid w:val="00CB51FF"/>
    <w:rsid w:val="00CB77CB"/>
    <w:rsid w:val="00CC0334"/>
    <w:rsid w:val="00CC1692"/>
    <w:rsid w:val="00CC1B8B"/>
    <w:rsid w:val="00CC1DF5"/>
    <w:rsid w:val="00CC3A59"/>
    <w:rsid w:val="00CC3B45"/>
    <w:rsid w:val="00CC4253"/>
    <w:rsid w:val="00CC444E"/>
    <w:rsid w:val="00CC4804"/>
    <w:rsid w:val="00CC5133"/>
    <w:rsid w:val="00CC5F27"/>
    <w:rsid w:val="00CC63FE"/>
    <w:rsid w:val="00CC7437"/>
    <w:rsid w:val="00CC7752"/>
    <w:rsid w:val="00CD16A3"/>
    <w:rsid w:val="00CD1841"/>
    <w:rsid w:val="00CD20E1"/>
    <w:rsid w:val="00CD3BBB"/>
    <w:rsid w:val="00CD3C54"/>
    <w:rsid w:val="00CD51EC"/>
    <w:rsid w:val="00CD6961"/>
    <w:rsid w:val="00CD7CC7"/>
    <w:rsid w:val="00CE081E"/>
    <w:rsid w:val="00CE08DD"/>
    <w:rsid w:val="00CE09F2"/>
    <w:rsid w:val="00CE2CDA"/>
    <w:rsid w:val="00CE3521"/>
    <w:rsid w:val="00CE3BC2"/>
    <w:rsid w:val="00CE4873"/>
    <w:rsid w:val="00CE5723"/>
    <w:rsid w:val="00CE57FF"/>
    <w:rsid w:val="00CE6ED8"/>
    <w:rsid w:val="00CE74C3"/>
    <w:rsid w:val="00CF0025"/>
    <w:rsid w:val="00CF0EFF"/>
    <w:rsid w:val="00CF1168"/>
    <w:rsid w:val="00CF1C88"/>
    <w:rsid w:val="00CF3FC7"/>
    <w:rsid w:val="00CF4077"/>
    <w:rsid w:val="00CF4841"/>
    <w:rsid w:val="00CF5493"/>
    <w:rsid w:val="00CF67D8"/>
    <w:rsid w:val="00CF694E"/>
    <w:rsid w:val="00CF6BF4"/>
    <w:rsid w:val="00CF77C7"/>
    <w:rsid w:val="00CF7DE9"/>
    <w:rsid w:val="00D01398"/>
    <w:rsid w:val="00D0189D"/>
    <w:rsid w:val="00D03B93"/>
    <w:rsid w:val="00D041B0"/>
    <w:rsid w:val="00D043DC"/>
    <w:rsid w:val="00D04528"/>
    <w:rsid w:val="00D04DD7"/>
    <w:rsid w:val="00D050BA"/>
    <w:rsid w:val="00D05E32"/>
    <w:rsid w:val="00D0640E"/>
    <w:rsid w:val="00D06FC6"/>
    <w:rsid w:val="00D106A3"/>
    <w:rsid w:val="00D11CE7"/>
    <w:rsid w:val="00D12281"/>
    <w:rsid w:val="00D13BE2"/>
    <w:rsid w:val="00D14D03"/>
    <w:rsid w:val="00D174F0"/>
    <w:rsid w:val="00D175B7"/>
    <w:rsid w:val="00D17707"/>
    <w:rsid w:val="00D26679"/>
    <w:rsid w:val="00D2772F"/>
    <w:rsid w:val="00D3020A"/>
    <w:rsid w:val="00D3079F"/>
    <w:rsid w:val="00D30C5E"/>
    <w:rsid w:val="00D3100A"/>
    <w:rsid w:val="00D312EB"/>
    <w:rsid w:val="00D318BF"/>
    <w:rsid w:val="00D3348F"/>
    <w:rsid w:val="00D3413F"/>
    <w:rsid w:val="00D3477D"/>
    <w:rsid w:val="00D3483B"/>
    <w:rsid w:val="00D3497A"/>
    <w:rsid w:val="00D35B95"/>
    <w:rsid w:val="00D36B51"/>
    <w:rsid w:val="00D3705B"/>
    <w:rsid w:val="00D373B0"/>
    <w:rsid w:val="00D403B7"/>
    <w:rsid w:val="00D40C75"/>
    <w:rsid w:val="00D40F22"/>
    <w:rsid w:val="00D4142C"/>
    <w:rsid w:val="00D4229B"/>
    <w:rsid w:val="00D42F0B"/>
    <w:rsid w:val="00D45597"/>
    <w:rsid w:val="00D45823"/>
    <w:rsid w:val="00D45C32"/>
    <w:rsid w:val="00D462AD"/>
    <w:rsid w:val="00D46FF7"/>
    <w:rsid w:val="00D47AD5"/>
    <w:rsid w:val="00D518C3"/>
    <w:rsid w:val="00D51C09"/>
    <w:rsid w:val="00D532C6"/>
    <w:rsid w:val="00D5426B"/>
    <w:rsid w:val="00D54C4D"/>
    <w:rsid w:val="00D5599A"/>
    <w:rsid w:val="00D55B21"/>
    <w:rsid w:val="00D5693C"/>
    <w:rsid w:val="00D569AD"/>
    <w:rsid w:val="00D5793A"/>
    <w:rsid w:val="00D57E52"/>
    <w:rsid w:val="00D605E5"/>
    <w:rsid w:val="00D62A8B"/>
    <w:rsid w:val="00D64868"/>
    <w:rsid w:val="00D6594B"/>
    <w:rsid w:val="00D65F89"/>
    <w:rsid w:val="00D71595"/>
    <w:rsid w:val="00D71B33"/>
    <w:rsid w:val="00D72158"/>
    <w:rsid w:val="00D72E9A"/>
    <w:rsid w:val="00D740F4"/>
    <w:rsid w:val="00D7422C"/>
    <w:rsid w:val="00D802FD"/>
    <w:rsid w:val="00D869C5"/>
    <w:rsid w:val="00D92888"/>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0842"/>
    <w:rsid w:val="00DB1B33"/>
    <w:rsid w:val="00DB3F35"/>
    <w:rsid w:val="00DB550E"/>
    <w:rsid w:val="00DB6144"/>
    <w:rsid w:val="00DB6664"/>
    <w:rsid w:val="00DB6EAC"/>
    <w:rsid w:val="00DB73FB"/>
    <w:rsid w:val="00DB745E"/>
    <w:rsid w:val="00DB7CD4"/>
    <w:rsid w:val="00DC0DBE"/>
    <w:rsid w:val="00DC217C"/>
    <w:rsid w:val="00DC429D"/>
    <w:rsid w:val="00DC458D"/>
    <w:rsid w:val="00DC62D9"/>
    <w:rsid w:val="00DC6BCD"/>
    <w:rsid w:val="00DC6E17"/>
    <w:rsid w:val="00DC6F8F"/>
    <w:rsid w:val="00DC747D"/>
    <w:rsid w:val="00DD26B7"/>
    <w:rsid w:val="00DD35D4"/>
    <w:rsid w:val="00DD3848"/>
    <w:rsid w:val="00DD4DCA"/>
    <w:rsid w:val="00DD5181"/>
    <w:rsid w:val="00DD569F"/>
    <w:rsid w:val="00DD5B3A"/>
    <w:rsid w:val="00DD5CCB"/>
    <w:rsid w:val="00DD6003"/>
    <w:rsid w:val="00DD7B1D"/>
    <w:rsid w:val="00DE1A4C"/>
    <w:rsid w:val="00DE285A"/>
    <w:rsid w:val="00DE2F3F"/>
    <w:rsid w:val="00DE3E14"/>
    <w:rsid w:val="00DE5417"/>
    <w:rsid w:val="00DE5630"/>
    <w:rsid w:val="00DE5DD0"/>
    <w:rsid w:val="00DE608E"/>
    <w:rsid w:val="00DE7227"/>
    <w:rsid w:val="00DE76FC"/>
    <w:rsid w:val="00DF011C"/>
    <w:rsid w:val="00DF0BB3"/>
    <w:rsid w:val="00DF33A3"/>
    <w:rsid w:val="00DF3789"/>
    <w:rsid w:val="00DF3F22"/>
    <w:rsid w:val="00DF4241"/>
    <w:rsid w:val="00DF45B4"/>
    <w:rsid w:val="00DF4BAB"/>
    <w:rsid w:val="00DF5D14"/>
    <w:rsid w:val="00DF608E"/>
    <w:rsid w:val="00DF6CC5"/>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3EEA"/>
    <w:rsid w:val="00E251B1"/>
    <w:rsid w:val="00E25CA8"/>
    <w:rsid w:val="00E26156"/>
    <w:rsid w:val="00E27323"/>
    <w:rsid w:val="00E3046F"/>
    <w:rsid w:val="00E30962"/>
    <w:rsid w:val="00E3099D"/>
    <w:rsid w:val="00E31CB4"/>
    <w:rsid w:val="00E333FB"/>
    <w:rsid w:val="00E3345C"/>
    <w:rsid w:val="00E36150"/>
    <w:rsid w:val="00E367BF"/>
    <w:rsid w:val="00E36EA0"/>
    <w:rsid w:val="00E36F7B"/>
    <w:rsid w:val="00E379CA"/>
    <w:rsid w:val="00E40778"/>
    <w:rsid w:val="00E41FE9"/>
    <w:rsid w:val="00E4501A"/>
    <w:rsid w:val="00E45135"/>
    <w:rsid w:val="00E4586E"/>
    <w:rsid w:val="00E45DEB"/>
    <w:rsid w:val="00E464B9"/>
    <w:rsid w:val="00E469C1"/>
    <w:rsid w:val="00E46BFA"/>
    <w:rsid w:val="00E477BE"/>
    <w:rsid w:val="00E47B62"/>
    <w:rsid w:val="00E511EA"/>
    <w:rsid w:val="00E51517"/>
    <w:rsid w:val="00E51F74"/>
    <w:rsid w:val="00E54533"/>
    <w:rsid w:val="00E55868"/>
    <w:rsid w:val="00E60C14"/>
    <w:rsid w:val="00E61815"/>
    <w:rsid w:val="00E61B4D"/>
    <w:rsid w:val="00E63806"/>
    <w:rsid w:val="00E65A34"/>
    <w:rsid w:val="00E65D86"/>
    <w:rsid w:val="00E66967"/>
    <w:rsid w:val="00E6717D"/>
    <w:rsid w:val="00E673C6"/>
    <w:rsid w:val="00E6754B"/>
    <w:rsid w:val="00E67E1C"/>
    <w:rsid w:val="00E67F79"/>
    <w:rsid w:val="00E70E2A"/>
    <w:rsid w:val="00E71B63"/>
    <w:rsid w:val="00E71BD4"/>
    <w:rsid w:val="00E72C1A"/>
    <w:rsid w:val="00E74BBE"/>
    <w:rsid w:val="00E763CD"/>
    <w:rsid w:val="00E76A0F"/>
    <w:rsid w:val="00E7711B"/>
    <w:rsid w:val="00E77E51"/>
    <w:rsid w:val="00E807D4"/>
    <w:rsid w:val="00E8114F"/>
    <w:rsid w:val="00E82425"/>
    <w:rsid w:val="00E828F9"/>
    <w:rsid w:val="00E82AF3"/>
    <w:rsid w:val="00E82B64"/>
    <w:rsid w:val="00E83E08"/>
    <w:rsid w:val="00E850A3"/>
    <w:rsid w:val="00E8528B"/>
    <w:rsid w:val="00E859BA"/>
    <w:rsid w:val="00E864F1"/>
    <w:rsid w:val="00E86A15"/>
    <w:rsid w:val="00E87034"/>
    <w:rsid w:val="00E870B0"/>
    <w:rsid w:val="00E90733"/>
    <w:rsid w:val="00E90F26"/>
    <w:rsid w:val="00E931A2"/>
    <w:rsid w:val="00E93D9A"/>
    <w:rsid w:val="00E96340"/>
    <w:rsid w:val="00EA022F"/>
    <w:rsid w:val="00EA26A5"/>
    <w:rsid w:val="00EA2E2E"/>
    <w:rsid w:val="00EA38D5"/>
    <w:rsid w:val="00EA4363"/>
    <w:rsid w:val="00EA5409"/>
    <w:rsid w:val="00EA566B"/>
    <w:rsid w:val="00EA5F10"/>
    <w:rsid w:val="00EA5F30"/>
    <w:rsid w:val="00EA6EA0"/>
    <w:rsid w:val="00EA6F59"/>
    <w:rsid w:val="00EA725B"/>
    <w:rsid w:val="00EA789A"/>
    <w:rsid w:val="00EA7F85"/>
    <w:rsid w:val="00EB219C"/>
    <w:rsid w:val="00EB321E"/>
    <w:rsid w:val="00EB62A2"/>
    <w:rsid w:val="00EB63C2"/>
    <w:rsid w:val="00EB64FC"/>
    <w:rsid w:val="00EB7B3E"/>
    <w:rsid w:val="00EC0FC7"/>
    <w:rsid w:val="00EC3466"/>
    <w:rsid w:val="00EC37C6"/>
    <w:rsid w:val="00EC3CEA"/>
    <w:rsid w:val="00EC3DD6"/>
    <w:rsid w:val="00EC4D48"/>
    <w:rsid w:val="00EC6339"/>
    <w:rsid w:val="00EC744B"/>
    <w:rsid w:val="00EC778D"/>
    <w:rsid w:val="00EC7B5A"/>
    <w:rsid w:val="00ED1573"/>
    <w:rsid w:val="00ED1966"/>
    <w:rsid w:val="00ED3712"/>
    <w:rsid w:val="00ED419B"/>
    <w:rsid w:val="00ED4DA5"/>
    <w:rsid w:val="00ED5AAA"/>
    <w:rsid w:val="00ED5AF3"/>
    <w:rsid w:val="00ED6E55"/>
    <w:rsid w:val="00ED71E9"/>
    <w:rsid w:val="00ED7419"/>
    <w:rsid w:val="00ED7443"/>
    <w:rsid w:val="00EE050F"/>
    <w:rsid w:val="00EE081A"/>
    <w:rsid w:val="00EE1B70"/>
    <w:rsid w:val="00EE1EB5"/>
    <w:rsid w:val="00EE243B"/>
    <w:rsid w:val="00EE5AEA"/>
    <w:rsid w:val="00EE60DB"/>
    <w:rsid w:val="00EE654A"/>
    <w:rsid w:val="00EE7E38"/>
    <w:rsid w:val="00EE7EEA"/>
    <w:rsid w:val="00EF1D7E"/>
    <w:rsid w:val="00EF23FD"/>
    <w:rsid w:val="00EF2D5D"/>
    <w:rsid w:val="00EF39FC"/>
    <w:rsid w:val="00EF449C"/>
    <w:rsid w:val="00EF4CEE"/>
    <w:rsid w:val="00EF53E2"/>
    <w:rsid w:val="00EF5638"/>
    <w:rsid w:val="00EF56DF"/>
    <w:rsid w:val="00EF6801"/>
    <w:rsid w:val="00EF6F0E"/>
    <w:rsid w:val="00EF7F09"/>
    <w:rsid w:val="00F016CA"/>
    <w:rsid w:val="00F01E4F"/>
    <w:rsid w:val="00F04143"/>
    <w:rsid w:val="00F0482C"/>
    <w:rsid w:val="00F05C44"/>
    <w:rsid w:val="00F05E09"/>
    <w:rsid w:val="00F0740D"/>
    <w:rsid w:val="00F07750"/>
    <w:rsid w:val="00F07780"/>
    <w:rsid w:val="00F07DB3"/>
    <w:rsid w:val="00F106C0"/>
    <w:rsid w:val="00F10988"/>
    <w:rsid w:val="00F10A7A"/>
    <w:rsid w:val="00F10A86"/>
    <w:rsid w:val="00F12149"/>
    <w:rsid w:val="00F12E25"/>
    <w:rsid w:val="00F13587"/>
    <w:rsid w:val="00F16387"/>
    <w:rsid w:val="00F173FD"/>
    <w:rsid w:val="00F203C7"/>
    <w:rsid w:val="00F210E0"/>
    <w:rsid w:val="00F21646"/>
    <w:rsid w:val="00F21917"/>
    <w:rsid w:val="00F21C85"/>
    <w:rsid w:val="00F23544"/>
    <w:rsid w:val="00F25ABF"/>
    <w:rsid w:val="00F25BBF"/>
    <w:rsid w:val="00F27A4B"/>
    <w:rsid w:val="00F27BB1"/>
    <w:rsid w:val="00F311E3"/>
    <w:rsid w:val="00F31BEE"/>
    <w:rsid w:val="00F32B0E"/>
    <w:rsid w:val="00F331AF"/>
    <w:rsid w:val="00F33DC4"/>
    <w:rsid w:val="00F35946"/>
    <w:rsid w:val="00F359C0"/>
    <w:rsid w:val="00F37DBE"/>
    <w:rsid w:val="00F40203"/>
    <w:rsid w:val="00F411E2"/>
    <w:rsid w:val="00F4212C"/>
    <w:rsid w:val="00F421EA"/>
    <w:rsid w:val="00F430AC"/>
    <w:rsid w:val="00F44E12"/>
    <w:rsid w:val="00F45308"/>
    <w:rsid w:val="00F462D5"/>
    <w:rsid w:val="00F46975"/>
    <w:rsid w:val="00F477B9"/>
    <w:rsid w:val="00F516B5"/>
    <w:rsid w:val="00F53604"/>
    <w:rsid w:val="00F54A39"/>
    <w:rsid w:val="00F54B2D"/>
    <w:rsid w:val="00F54BBB"/>
    <w:rsid w:val="00F55625"/>
    <w:rsid w:val="00F55FAE"/>
    <w:rsid w:val="00F56422"/>
    <w:rsid w:val="00F60171"/>
    <w:rsid w:val="00F603C9"/>
    <w:rsid w:val="00F607F4"/>
    <w:rsid w:val="00F6086F"/>
    <w:rsid w:val="00F613FA"/>
    <w:rsid w:val="00F61795"/>
    <w:rsid w:val="00F6631F"/>
    <w:rsid w:val="00F67447"/>
    <w:rsid w:val="00F7059C"/>
    <w:rsid w:val="00F72112"/>
    <w:rsid w:val="00F723D6"/>
    <w:rsid w:val="00F724AB"/>
    <w:rsid w:val="00F75018"/>
    <w:rsid w:val="00F764DF"/>
    <w:rsid w:val="00F76942"/>
    <w:rsid w:val="00F77999"/>
    <w:rsid w:val="00F77E87"/>
    <w:rsid w:val="00F806A9"/>
    <w:rsid w:val="00F81390"/>
    <w:rsid w:val="00F81620"/>
    <w:rsid w:val="00F8217F"/>
    <w:rsid w:val="00F8229F"/>
    <w:rsid w:val="00F83113"/>
    <w:rsid w:val="00F83392"/>
    <w:rsid w:val="00F83C22"/>
    <w:rsid w:val="00F83E61"/>
    <w:rsid w:val="00F84521"/>
    <w:rsid w:val="00F8525D"/>
    <w:rsid w:val="00F86CF5"/>
    <w:rsid w:val="00F87451"/>
    <w:rsid w:val="00F906AB"/>
    <w:rsid w:val="00F91766"/>
    <w:rsid w:val="00F91A6E"/>
    <w:rsid w:val="00F9687E"/>
    <w:rsid w:val="00F96B7D"/>
    <w:rsid w:val="00FA0537"/>
    <w:rsid w:val="00FA0852"/>
    <w:rsid w:val="00FA1D08"/>
    <w:rsid w:val="00FA25EA"/>
    <w:rsid w:val="00FA2ECA"/>
    <w:rsid w:val="00FA2FA8"/>
    <w:rsid w:val="00FA3D82"/>
    <w:rsid w:val="00FA5F04"/>
    <w:rsid w:val="00FA65E5"/>
    <w:rsid w:val="00FA6A63"/>
    <w:rsid w:val="00FB1348"/>
    <w:rsid w:val="00FB1EA0"/>
    <w:rsid w:val="00FB2144"/>
    <w:rsid w:val="00FB2DA4"/>
    <w:rsid w:val="00FB45C2"/>
    <w:rsid w:val="00FB6B51"/>
    <w:rsid w:val="00FC2786"/>
    <w:rsid w:val="00FC36CB"/>
    <w:rsid w:val="00FC3779"/>
    <w:rsid w:val="00FC3C59"/>
    <w:rsid w:val="00FC400D"/>
    <w:rsid w:val="00FC58AA"/>
    <w:rsid w:val="00FC5982"/>
    <w:rsid w:val="00FC5AC6"/>
    <w:rsid w:val="00FC6F54"/>
    <w:rsid w:val="00FC7979"/>
    <w:rsid w:val="00FC7CE2"/>
    <w:rsid w:val="00FD1489"/>
    <w:rsid w:val="00FD15A5"/>
    <w:rsid w:val="00FD2169"/>
    <w:rsid w:val="00FD245E"/>
    <w:rsid w:val="00FD24D9"/>
    <w:rsid w:val="00FD2B4A"/>
    <w:rsid w:val="00FD43CA"/>
    <w:rsid w:val="00FD4B6C"/>
    <w:rsid w:val="00FD67DB"/>
    <w:rsid w:val="00FD760A"/>
    <w:rsid w:val="00FD7C6C"/>
    <w:rsid w:val="00FE1B51"/>
    <w:rsid w:val="00FE1CB9"/>
    <w:rsid w:val="00FE54A8"/>
    <w:rsid w:val="00FE66D2"/>
    <w:rsid w:val="00FE6741"/>
    <w:rsid w:val="00FE6B1A"/>
    <w:rsid w:val="00FE730D"/>
    <w:rsid w:val="00FF06F9"/>
    <w:rsid w:val="00FF0FB4"/>
    <w:rsid w:val="00FF1A88"/>
    <w:rsid w:val="00FF2308"/>
    <w:rsid w:val="00FF257F"/>
    <w:rsid w:val="00FF2B2A"/>
    <w:rsid w:val="00FF2B97"/>
    <w:rsid w:val="00FF386C"/>
    <w:rsid w:val="00FF3AAA"/>
    <w:rsid w:val="00FF47D8"/>
    <w:rsid w:val="00FF4EE6"/>
    <w:rsid w:val="00FF683E"/>
    <w:rsid w:val="00FF6A5B"/>
    <w:rsid w:val="00FF7BBC"/>
    <w:rsid w:val="015A62EC"/>
    <w:rsid w:val="016367A9"/>
    <w:rsid w:val="016419B5"/>
    <w:rsid w:val="016875DE"/>
    <w:rsid w:val="019726A7"/>
    <w:rsid w:val="019839AC"/>
    <w:rsid w:val="01B34A13"/>
    <w:rsid w:val="01D225A9"/>
    <w:rsid w:val="01E812A5"/>
    <w:rsid w:val="02165375"/>
    <w:rsid w:val="02362A34"/>
    <w:rsid w:val="0255131A"/>
    <w:rsid w:val="028669BE"/>
    <w:rsid w:val="028E6154"/>
    <w:rsid w:val="02A11415"/>
    <w:rsid w:val="02DF55B5"/>
    <w:rsid w:val="02F91254"/>
    <w:rsid w:val="02FF0E39"/>
    <w:rsid w:val="03040CCD"/>
    <w:rsid w:val="032875BA"/>
    <w:rsid w:val="033311CF"/>
    <w:rsid w:val="0337506D"/>
    <w:rsid w:val="03404E17"/>
    <w:rsid w:val="036C4C82"/>
    <w:rsid w:val="03855AC0"/>
    <w:rsid w:val="03C0185E"/>
    <w:rsid w:val="03D84221"/>
    <w:rsid w:val="03D8775E"/>
    <w:rsid w:val="04114DD0"/>
    <w:rsid w:val="04386532"/>
    <w:rsid w:val="04677E28"/>
    <w:rsid w:val="046B703C"/>
    <w:rsid w:val="049F6495"/>
    <w:rsid w:val="04A55DD3"/>
    <w:rsid w:val="04BD2C91"/>
    <w:rsid w:val="04CE3D2E"/>
    <w:rsid w:val="05091BBF"/>
    <w:rsid w:val="050D4AAD"/>
    <w:rsid w:val="051416E4"/>
    <w:rsid w:val="05293A29"/>
    <w:rsid w:val="056720A5"/>
    <w:rsid w:val="056C674E"/>
    <w:rsid w:val="05C24554"/>
    <w:rsid w:val="061239DA"/>
    <w:rsid w:val="06136505"/>
    <w:rsid w:val="062671DC"/>
    <w:rsid w:val="066936FF"/>
    <w:rsid w:val="067231FC"/>
    <w:rsid w:val="06C03FCE"/>
    <w:rsid w:val="06F85D5A"/>
    <w:rsid w:val="071378F5"/>
    <w:rsid w:val="076D5427"/>
    <w:rsid w:val="07731EDA"/>
    <w:rsid w:val="077D28CE"/>
    <w:rsid w:val="07A92931"/>
    <w:rsid w:val="07B97C0C"/>
    <w:rsid w:val="07EB560A"/>
    <w:rsid w:val="08423CCF"/>
    <w:rsid w:val="085B6E5F"/>
    <w:rsid w:val="08A912EA"/>
    <w:rsid w:val="08F505AB"/>
    <w:rsid w:val="090B4468"/>
    <w:rsid w:val="09536CE2"/>
    <w:rsid w:val="09587F5E"/>
    <w:rsid w:val="096D30CF"/>
    <w:rsid w:val="097662B8"/>
    <w:rsid w:val="09EC4E9A"/>
    <w:rsid w:val="0A2B3E51"/>
    <w:rsid w:val="0A2B7F73"/>
    <w:rsid w:val="0A327048"/>
    <w:rsid w:val="0A4038E0"/>
    <w:rsid w:val="0A541832"/>
    <w:rsid w:val="0A80214B"/>
    <w:rsid w:val="0A835F27"/>
    <w:rsid w:val="0A97493E"/>
    <w:rsid w:val="0AB715F7"/>
    <w:rsid w:val="0B0D7FE5"/>
    <w:rsid w:val="0B15387F"/>
    <w:rsid w:val="0B243B52"/>
    <w:rsid w:val="0BC11263"/>
    <w:rsid w:val="0BD96283"/>
    <w:rsid w:val="0BDC010B"/>
    <w:rsid w:val="0BED7F86"/>
    <w:rsid w:val="0C510802"/>
    <w:rsid w:val="0C770F81"/>
    <w:rsid w:val="0D0578EB"/>
    <w:rsid w:val="0D1260BC"/>
    <w:rsid w:val="0D336D94"/>
    <w:rsid w:val="0D3F2706"/>
    <w:rsid w:val="0D542D4A"/>
    <w:rsid w:val="0D6B1BDB"/>
    <w:rsid w:val="0D7A1185"/>
    <w:rsid w:val="0D817E81"/>
    <w:rsid w:val="0D9C032D"/>
    <w:rsid w:val="0DAF4280"/>
    <w:rsid w:val="0DEC6564"/>
    <w:rsid w:val="0DFA753B"/>
    <w:rsid w:val="0E076AE9"/>
    <w:rsid w:val="0E421E9F"/>
    <w:rsid w:val="0E8A38D7"/>
    <w:rsid w:val="0EBD3DC2"/>
    <w:rsid w:val="0EF75F06"/>
    <w:rsid w:val="0F0240D5"/>
    <w:rsid w:val="0F0B4575"/>
    <w:rsid w:val="0F10766C"/>
    <w:rsid w:val="0F3D22EA"/>
    <w:rsid w:val="0F410888"/>
    <w:rsid w:val="0F4B0B20"/>
    <w:rsid w:val="0F512D6C"/>
    <w:rsid w:val="0F542C0B"/>
    <w:rsid w:val="0FB924B8"/>
    <w:rsid w:val="0FCC1533"/>
    <w:rsid w:val="0FF73288"/>
    <w:rsid w:val="10930DC1"/>
    <w:rsid w:val="10B81047"/>
    <w:rsid w:val="10E03636"/>
    <w:rsid w:val="10E55ACF"/>
    <w:rsid w:val="10E62DCA"/>
    <w:rsid w:val="11025A9A"/>
    <w:rsid w:val="11210447"/>
    <w:rsid w:val="11272C03"/>
    <w:rsid w:val="112D573C"/>
    <w:rsid w:val="113611C5"/>
    <w:rsid w:val="11624886"/>
    <w:rsid w:val="11663B15"/>
    <w:rsid w:val="11854C1C"/>
    <w:rsid w:val="11870049"/>
    <w:rsid w:val="11B87EE0"/>
    <w:rsid w:val="11B968D1"/>
    <w:rsid w:val="11D15414"/>
    <w:rsid w:val="12176AF0"/>
    <w:rsid w:val="12473733"/>
    <w:rsid w:val="12843EF9"/>
    <w:rsid w:val="128724F6"/>
    <w:rsid w:val="12D36D20"/>
    <w:rsid w:val="12D90C47"/>
    <w:rsid w:val="12EA5CBC"/>
    <w:rsid w:val="12F32AA0"/>
    <w:rsid w:val="12F37483"/>
    <w:rsid w:val="13043ED4"/>
    <w:rsid w:val="132052BC"/>
    <w:rsid w:val="132C1521"/>
    <w:rsid w:val="1372031E"/>
    <w:rsid w:val="139B0D39"/>
    <w:rsid w:val="13AE5522"/>
    <w:rsid w:val="13B801BA"/>
    <w:rsid w:val="13BA3578"/>
    <w:rsid w:val="13CF24C7"/>
    <w:rsid w:val="13F21EF0"/>
    <w:rsid w:val="13FB7CB1"/>
    <w:rsid w:val="1403461B"/>
    <w:rsid w:val="141A16B9"/>
    <w:rsid w:val="142349C8"/>
    <w:rsid w:val="1426671F"/>
    <w:rsid w:val="143D6DFB"/>
    <w:rsid w:val="145452E5"/>
    <w:rsid w:val="147D2950"/>
    <w:rsid w:val="148B4C81"/>
    <w:rsid w:val="14C20431"/>
    <w:rsid w:val="14D230EC"/>
    <w:rsid w:val="14EB1883"/>
    <w:rsid w:val="15372973"/>
    <w:rsid w:val="154272B5"/>
    <w:rsid w:val="159A5456"/>
    <w:rsid w:val="15AF07A4"/>
    <w:rsid w:val="15CF287D"/>
    <w:rsid w:val="15D63BFD"/>
    <w:rsid w:val="15DC5609"/>
    <w:rsid w:val="15EE3AFE"/>
    <w:rsid w:val="15F26C8F"/>
    <w:rsid w:val="15FB56D6"/>
    <w:rsid w:val="163B20BE"/>
    <w:rsid w:val="169C4E56"/>
    <w:rsid w:val="16A950A8"/>
    <w:rsid w:val="16B329A8"/>
    <w:rsid w:val="16B53EAE"/>
    <w:rsid w:val="17095CC7"/>
    <w:rsid w:val="1732467E"/>
    <w:rsid w:val="1741651B"/>
    <w:rsid w:val="174258ED"/>
    <w:rsid w:val="175A2E64"/>
    <w:rsid w:val="17896CFA"/>
    <w:rsid w:val="178A352D"/>
    <w:rsid w:val="17D45A8C"/>
    <w:rsid w:val="17E21328"/>
    <w:rsid w:val="17FB18BA"/>
    <w:rsid w:val="182D7E75"/>
    <w:rsid w:val="184C55BE"/>
    <w:rsid w:val="189B493E"/>
    <w:rsid w:val="18C156FE"/>
    <w:rsid w:val="18F9043B"/>
    <w:rsid w:val="18FE1D0C"/>
    <w:rsid w:val="190469FF"/>
    <w:rsid w:val="192B5C72"/>
    <w:rsid w:val="19667141"/>
    <w:rsid w:val="196B5DCD"/>
    <w:rsid w:val="19B74183"/>
    <w:rsid w:val="19E67B09"/>
    <w:rsid w:val="19F87913"/>
    <w:rsid w:val="1A0B2B00"/>
    <w:rsid w:val="1A464DC4"/>
    <w:rsid w:val="1B101607"/>
    <w:rsid w:val="1B2F60F5"/>
    <w:rsid w:val="1B3E6618"/>
    <w:rsid w:val="1BCB22A8"/>
    <w:rsid w:val="1C411EE7"/>
    <w:rsid w:val="1C6108BB"/>
    <w:rsid w:val="1C7E1E02"/>
    <w:rsid w:val="1CA848A1"/>
    <w:rsid w:val="1CAA22AB"/>
    <w:rsid w:val="1CE005C0"/>
    <w:rsid w:val="1CE354ED"/>
    <w:rsid w:val="1CE576F2"/>
    <w:rsid w:val="1CFB75A6"/>
    <w:rsid w:val="1CFD38D1"/>
    <w:rsid w:val="1D1C03D7"/>
    <w:rsid w:val="1D4D3358"/>
    <w:rsid w:val="1D581142"/>
    <w:rsid w:val="1D6015F5"/>
    <w:rsid w:val="1D621892"/>
    <w:rsid w:val="1D656F74"/>
    <w:rsid w:val="1D7579CC"/>
    <w:rsid w:val="1D7F7370"/>
    <w:rsid w:val="1D9317B9"/>
    <w:rsid w:val="1D9E6CC4"/>
    <w:rsid w:val="1DD151B5"/>
    <w:rsid w:val="1DE04BB8"/>
    <w:rsid w:val="1E2E61DF"/>
    <w:rsid w:val="1E4E6744"/>
    <w:rsid w:val="1E54580E"/>
    <w:rsid w:val="1E757AD8"/>
    <w:rsid w:val="1EB83BF5"/>
    <w:rsid w:val="1F0032CD"/>
    <w:rsid w:val="1F1719EE"/>
    <w:rsid w:val="1F335FF9"/>
    <w:rsid w:val="1F3F0A29"/>
    <w:rsid w:val="1F572B28"/>
    <w:rsid w:val="1F730F71"/>
    <w:rsid w:val="1F7E179E"/>
    <w:rsid w:val="1F964275"/>
    <w:rsid w:val="1FA70684"/>
    <w:rsid w:val="1FC83696"/>
    <w:rsid w:val="1FCC3ECC"/>
    <w:rsid w:val="200377F1"/>
    <w:rsid w:val="20135EB8"/>
    <w:rsid w:val="20157ADA"/>
    <w:rsid w:val="202B25F8"/>
    <w:rsid w:val="202E11D8"/>
    <w:rsid w:val="20BE2C71"/>
    <w:rsid w:val="20DA2975"/>
    <w:rsid w:val="21051386"/>
    <w:rsid w:val="213B421E"/>
    <w:rsid w:val="21630DBA"/>
    <w:rsid w:val="21CC533A"/>
    <w:rsid w:val="21DB2DD3"/>
    <w:rsid w:val="21E16F6E"/>
    <w:rsid w:val="21E51107"/>
    <w:rsid w:val="22082050"/>
    <w:rsid w:val="22422A93"/>
    <w:rsid w:val="22506514"/>
    <w:rsid w:val="228E60BF"/>
    <w:rsid w:val="22935B46"/>
    <w:rsid w:val="22961598"/>
    <w:rsid w:val="22B37CEB"/>
    <w:rsid w:val="22BD7BF1"/>
    <w:rsid w:val="22D73079"/>
    <w:rsid w:val="22E22C59"/>
    <w:rsid w:val="23161D1F"/>
    <w:rsid w:val="234D3929"/>
    <w:rsid w:val="23541932"/>
    <w:rsid w:val="236F4FBD"/>
    <w:rsid w:val="23826133"/>
    <w:rsid w:val="239E3F80"/>
    <w:rsid w:val="23CD30A4"/>
    <w:rsid w:val="23DC536C"/>
    <w:rsid w:val="240D352F"/>
    <w:rsid w:val="24922D42"/>
    <w:rsid w:val="24927187"/>
    <w:rsid w:val="24B41DC8"/>
    <w:rsid w:val="24B527D7"/>
    <w:rsid w:val="24B578FA"/>
    <w:rsid w:val="24CB3566"/>
    <w:rsid w:val="24D05ACC"/>
    <w:rsid w:val="24D276CB"/>
    <w:rsid w:val="24EC172E"/>
    <w:rsid w:val="24F60C47"/>
    <w:rsid w:val="2575528E"/>
    <w:rsid w:val="25900048"/>
    <w:rsid w:val="25A45A3C"/>
    <w:rsid w:val="25A4761E"/>
    <w:rsid w:val="25BF622B"/>
    <w:rsid w:val="25E12785"/>
    <w:rsid w:val="2613318A"/>
    <w:rsid w:val="26151600"/>
    <w:rsid w:val="264C74E4"/>
    <w:rsid w:val="26581E6E"/>
    <w:rsid w:val="26A73075"/>
    <w:rsid w:val="26B54B63"/>
    <w:rsid w:val="26CA7391"/>
    <w:rsid w:val="26DF2DF9"/>
    <w:rsid w:val="2709690F"/>
    <w:rsid w:val="271946A1"/>
    <w:rsid w:val="271F7879"/>
    <w:rsid w:val="27225405"/>
    <w:rsid w:val="27283F67"/>
    <w:rsid w:val="27393819"/>
    <w:rsid w:val="2739606C"/>
    <w:rsid w:val="273D3222"/>
    <w:rsid w:val="27404151"/>
    <w:rsid w:val="27933B92"/>
    <w:rsid w:val="27B25551"/>
    <w:rsid w:val="27CC1648"/>
    <w:rsid w:val="27D6686A"/>
    <w:rsid w:val="280129D7"/>
    <w:rsid w:val="280744DD"/>
    <w:rsid w:val="281360E4"/>
    <w:rsid w:val="286C493A"/>
    <w:rsid w:val="28A0271E"/>
    <w:rsid w:val="29176FB2"/>
    <w:rsid w:val="292E7DEF"/>
    <w:rsid w:val="29352E54"/>
    <w:rsid w:val="29547BC4"/>
    <w:rsid w:val="296733FA"/>
    <w:rsid w:val="299C6CB5"/>
    <w:rsid w:val="29AC16E3"/>
    <w:rsid w:val="29BF36EC"/>
    <w:rsid w:val="29C3093C"/>
    <w:rsid w:val="29D94976"/>
    <w:rsid w:val="2A223EAC"/>
    <w:rsid w:val="2A472F67"/>
    <w:rsid w:val="2A474E87"/>
    <w:rsid w:val="2A502E1B"/>
    <w:rsid w:val="2A75021C"/>
    <w:rsid w:val="2A8C37E9"/>
    <w:rsid w:val="2AD013C9"/>
    <w:rsid w:val="2AE45309"/>
    <w:rsid w:val="2B4E79D6"/>
    <w:rsid w:val="2B9B4238"/>
    <w:rsid w:val="2C134AEF"/>
    <w:rsid w:val="2C5834D7"/>
    <w:rsid w:val="2C6150EC"/>
    <w:rsid w:val="2C6C1E69"/>
    <w:rsid w:val="2C787A0A"/>
    <w:rsid w:val="2C8D45AA"/>
    <w:rsid w:val="2C920118"/>
    <w:rsid w:val="2CA83FD0"/>
    <w:rsid w:val="2CC275EE"/>
    <w:rsid w:val="2CC610BB"/>
    <w:rsid w:val="2CCC7A2F"/>
    <w:rsid w:val="2CF369CD"/>
    <w:rsid w:val="2D21013D"/>
    <w:rsid w:val="2D4E158F"/>
    <w:rsid w:val="2D71574D"/>
    <w:rsid w:val="2DCD08D2"/>
    <w:rsid w:val="2E046913"/>
    <w:rsid w:val="2E3E6CE8"/>
    <w:rsid w:val="2E4A005C"/>
    <w:rsid w:val="2E8D2EEB"/>
    <w:rsid w:val="2E8D4481"/>
    <w:rsid w:val="2EC75549"/>
    <w:rsid w:val="2EE029D9"/>
    <w:rsid w:val="2EE4717D"/>
    <w:rsid w:val="2F172EC5"/>
    <w:rsid w:val="2F1C72FC"/>
    <w:rsid w:val="2F7B2B74"/>
    <w:rsid w:val="2F8D2746"/>
    <w:rsid w:val="2FA05C1F"/>
    <w:rsid w:val="2FA3501B"/>
    <w:rsid w:val="2FA7374A"/>
    <w:rsid w:val="2FBC35DD"/>
    <w:rsid w:val="2FC4512F"/>
    <w:rsid w:val="2FE774D1"/>
    <w:rsid w:val="300C3BFC"/>
    <w:rsid w:val="30203302"/>
    <w:rsid w:val="303B5C35"/>
    <w:rsid w:val="30455AC0"/>
    <w:rsid w:val="305F56A6"/>
    <w:rsid w:val="30906EF6"/>
    <w:rsid w:val="30A54307"/>
    <w:rsid w:val="30B63EEC"/>
    <w:rsid w:val="31087BF7"/>
    <w:rsid w:val="3149611E"/>
    <w:rsid w:val="316B201F"/>
    <w:rsid w:val="31947902"/>
    <w:rsid w:val="31973913"/>
    <w:rsid w:val="31A47788"/>
    <w:rsid w:val="31C70184"/>
    <w:rsid w:val="31D0645F"/>
    <w:rsid w:val="31E43451"/>
    <w:rsid w:val="31E85DFB"/>
    <w:rsid w:val="31F40A62"/>
    <w:rsid w:val="32085EEA"/>
    <w:rsid w:val="320A1B3D"/>
    <w:rsid w:val="321A5FF9"/>
    <w:rsid w:val="326F27DC"/>
    <w:rsid w:val="327A6A63"/>
    <w:rsid w:val="328A6951"/>
    <w:rsid w:val="33C15A9D"/>
    <w:rsid w:val="33CE43C5"/>
    <w:rsid w:val="33E2761E"/>
    <w:rsid w:val="33ED0162"/>
    <w:rsid w:val="340F40E3"/>
    <w:rsid w:val="34A56FE2"/>
    <w:rsid w:val="34A95CF4"/>
    <w:rsid w:val="34AC5E26"/>
    <w:rsid w:val="34D47520"/>
    <w:rsid w:val="350B0489"/>
    <w:rsid w:val="350E6DA3"/>
    <w:rsid w:val="35163620"/>
    <w:rsid w:val="351F49A2"/>
    <w:rsid w:val="352E0BFB"/>
    <w:rsid w:val="353D1040"/>
    <w:rsid w:val="35A3323F"/>
    <w:rsid w:val="35A57D75"/>
    <w:rsid w:val="35AA6B19"/>
    <w:rsid w:val="35B43C28"/>
    <w:rsid w:val="35B60018"/>
    <w:rsid w:val="35DC5DA7"/>
    <w:rsid w:val="35EF23E4"/>
    <w:rsid w:val="35FA58A0"/>
    <w:rsid w:val="35FE765C"/>
    <w:rsid w:val="36255FB7"/>
    <w:rsid w:val="36292D10"/>
    <w:rsid w:val="366F2379"/>
    <w:rsid w:val="367250E2"/>
    <w:rsid w:val="36745B7F"/>
    <w:rsid w:val="367869D2"/>
    <w:rsid w:val="367C1606"/>
    <w:rsid w:val="36B56003"/>
    <w:rsid w:val="36C52477"/>
    <w:rsid w:val="36D67471"/>
    <w:rsid w:val="36DC5B61"/>
    <w:rsid w:val="36E35581"/>
    <w:rsid w:val="36E4446E"/>
    <w:rsid w:val="36E97BF3"/>
    <w:rsid w:val="37482116"/>
    <w:rsid w:val="376327D9"/>
    <w:rsid w:val="37704D44"/>
    <w:rsid w:val="37791B81"/>
    <w:rsid w:val="378A7900"/>
    <w:rsid w:val="379344BE"/>
    <w:rsid w:val="37B533BF"/>
    <w:rsid w:val="37B56AE5"/>
    <w:rsid w:val="37BB3BA0"/>
    <w:rsid w:val="37BD3B90"/>
    <w:rsid w:val="37D231F3"/>
    <w:rsid w:val="38100675"/>
    <w:rsid w:val="38124733"/>
    <w:rsid w:val="38460B75"/>
    <w:rsid w:val="38470DE9"/>
    <w:rsid w:val="387A0F38"/>
    <w:rsid w:val="38C04A2B"/>
    <w:rsid w:val="391332E6"/>
    <w:rsid w:val="39420DA8"/>
    <w:rsid w:val="396E7FD8"/>
    <w:rsid w:val="398F4E35"/>
    <w:rsid w:val="399B22FD"/>
    <w:rsid w:val="399D089D"/>
    <w:rsid w:val="39AE22AB"/>
    <w:rsid w:val="39B8452F"/>
    <w:rsid w:val="39C51092"/>
    <w:rsid w:val="39D57EF0"/>
    <w:rsid w:val="39D8321D"/>
    <w:rsid w:val="39F6604A"/>
    <w:rsid w:val="3A156CDC"/>
    <w:rsid w:val="3A4B7EC8"/>
    <w:rsid w:val="3A667E83"/>
    <w:rsid w:val="3A7C7AEB"/>
    <w:rsid w:val="3A8123ED"/>
    <w:rsid w:val="3A847FC8"/>
    <w:rsid w:val="3AB47011"/>
    <w:rsid w:val="3AC457DD"/>
    <w:rsid w:val="3AC93C11"/>
    <w:rsid w:val="3ADC4430"/>
    <w:rsid w:val="3ADD0722"/>
    <w:rsid w:val="3AFA4DFF"/>
    <w:rsid w:val="3B4433D7"/>
    <w:rsid w:val="3B5516BD"/>
    <w:rsid w:val="3B556C7B"/>
    <w:rsid w:val="3B5C31EF"/>
    <w:rsid w:val="3B613F8C"/>
    <w:rsid w:val="3B8E47F4"/>
    <w:rsid w:val="3BA21668"/>
    <w:rsid w:val="3BF511EF"/>
    <w:rsid w:val="3C233025"/>
    <w:rsid w:val="3C345451"/>
    <w:rsid w:val="3C3F2298"/>
    <w:rsid w:val="3CBF5AFE"/>
    <w:rsid w:val="3CC167CC"/>
    <w:rsid w:val="3CD50896"/>
    <w:rsid w:val="3CDF2D1F"/>
    <w:rsid w:val="3CE10208"/>
    <w:rsid w:val="3CF727B5"/>
    <w:rsid w:val="3D1B482A"/>
    <w:rsid w:val="3D5866E5"/>
    <w:rsid w:val="3D5F768E"/>
    <w:rsid w:val="3D7171BB"/>
    <w:rsid w:val="3D8B00CB"/>
    <w:rsid w:val="3D945D40"/>
    <w:rsid w:val="3DE17755"/>
    <w:rsid w:val="3DE96EC7"/>
    <w:rsid w:val="3E011EC6"/>
    <w:rsid w:val="3E145966"/>
    <w:rsid w:val="3E2B338D"/>
    <w:rsid w:val="3E841C59"/>
    <w:rsid w:val="3EAD5C3B"/>
    <w:rsid w:val="3ED56E3D"/>
    <w:rsid w:val="3EF828EF"/>
    <w:rsid w:val="3F116342"/>
    <w:rsid w:val="3F292D30"/>
    <w:rsid w:val="3F2F41CE"/>
    <w:rsid w:val="3F3F4A5A"/>
    <w:rsid w:val="3F830750"/>
    <w:rsid w:val="3F912D81"/>
    <w:rsid w:val="3FB719AB"/>
    <w:rsid w:val="3FC138DC"/>
    <w:rsid w:val="3FC741B0"/>
    <w:rsid w:val="3FD055D7"/>
    <w:rsid w:val="3FD151E1"/>
    <w:rsid w:val="3FDF3D15"/>
    <w:rsid w:val="3FEA00DC"/>
    <w:rsid w:val="40034078"/>
    <w:rsid w:val="40071619"/>
    <w:rsid w:val="40297384"/>
    <w:rsid w:val="40337EAD"/>
    <w:rsid w:val="40442A93"/>
    <w:rsid w:val="404460EA"/>
    <w:rsid w:val="4048144F"/>
    <w:rsid w:val="40542142"/>
    <w:rsid w:val="40564FBC"/>
    <w:rsid w:val="40645CC5"/>
    <w:rsid w:val="407A4354"/>
    <w:rsid w:val="40C272D5"/>
    <w:rsid w:val="40E8556B"/>
    <w:rsid w:val="4120702C"/>
    <w:rsid w:val="416F7CCF"/>
    <w:rsid w:val="41815D2F"/>
    <w:rsid w:val="419747DD"/>
    <w:rsid w:val="41AB2105"/>
    <w:rsid w:val="41B0799B"/>
    <w:rsid w:val="41D87443"/>
    <w:rsid w:val="41EE0F66"/>
    <w:rsid w:val="41F0685E"/>
    <w:rsid w:val="420723E4"/>
    <w:rsid w:val="420A339D"/>
    <w:rsid w:val="42137847"/>
    <w:rsid w:val="4248097F"/>
    <w:rsid w:val="4254643D"/>
    <w:rsid w:val="42642DA8"/>
    <w:rsid w:val="42973E05"/>
    <w:rsid w:val="42AC04D0"/>
    <w:rsid w:val="42CF7B25"/>
    <w:rsid w:val="42D00296"/>
    <w:rsid w:val="42FB7EAC"/>
    <w:rsid w:val="43124DB2"/>
    <w:rsid w:val="432043B2"/>
    <w:rsid w:val="438A1CC5"/>
    <w:rsid w:val="439422FD"/>
    <w:rsid w:val="43A14BB8"/>
    <w:rsid w:val="43AD097E"/>
    <w:rsid w:val="43BE3BFD"/>
    <w:rsid w:val="43C425E1"/>
    <w:rsid w:val="440A0AC3"/>
    <w:rsid w:val="44107720"/>
    <w:rsid w:val="4427562F"/>
    <w:rsid w:val="445A306B"/>
    <w:rsid w:val="44673E2A"/>
    <w:rsid w:val="447B1B50"/>
    <w:rsid w:val="448676E3"/>
    <w:rsid w:val="44931256"/>
    <w:rsid w:val="44D26750"/>
    <w:rsid w:val="45284074"/>
    <w:rsid w:val="453C62BB"/>
    <w:rsid w:val="45642789"/>
    <w:rsid w:val="45792FB7"/>
    <w:rsid w:val="457A2F3E"/>
    <w:rsid w:val="457B724C"/>
    <w:rsid w:val="45965AB8"/>
    <w:rsid w:val="45C81B0A"/>
    <w:rsid w:val="45CD2D28"/>
    <w:rsid w:val="45F92A29"/>
    <w:rsid w:val="46011FAD"/>
    <w:rsid w:val="46253B33"/>
    <w:rsid w:val="462A10E3"/>
    <w:rsid w:val="465B6787"/>
    <w:rsid w:val="466E359D"/>
    <w:rsid w:val="46913751"/>
    <w:rsid w:val="46B57E51"/>
    <w:rsid w:val="46C70800"/>
    <w:rsid w:val="46CD39B0"/>
    <w:rsid w:val="46D73EC6"/>
    <w:rsid w:val="46EE3A7C"/>
    <w:rsid w:val="477A1D28"/>
    <w:rsid w:val="47933C8F"/>
    <w:rsid w:val="47AE02B5"/>
    <w:rsid w:val="47BF466E"/>
    <w:rsid w:val="47C5589D"/>
    <w:rsid w:val="47D472D7"/>
    <w:rsid w:val="481B4DB8"/>
    <w:rsid w:val="48364A31"/>
    <w:rsid w:val="483A7F05"/>
    <w:rsid w:val="48912E94"/>
    <w:rsid w:val="489509A3"/>
    <w:rsid w:val="48B71520"/>
    <w:rsid w:val="48D00057"/>
    <w:rsid w:val="48D11BF7"/>
    <w:rsid w:val="48D3260F"/>
    <w:rsid w:val="48D43D0B"/>
    <w:rsid w:val="490E5F3F"/>
    <w:rsid w:val="49480447"/>
    <w:rsid w:val="49DC0CBB"/>
    <w:rsid w:val="49E44D8A"/>
    <w:rsid w:val="49EC5FF4"/>
    <w:rsid w:val="4A2F5A4F"/>
    <w:rsid w:val="4A322099"/>
    <w:rsid w:val="4A401BE1"/>
    <w:rsid w:val="4A4051EF"/>
    <w:rsid w:val="4A495D2D"/>
    <w:rsid w:val="4AA94B8B"/>
    <w:rsid w:val="4AB30D1E"/>
    <w:rsid w:val="4ABA6D48"/>
    <w:rsid w:val="4AD8290A"/>
    <w:rsid w:val="4ADE1D62"/>
    <w:rsid w:val="4AE23A9A"/>
    <w:rsid w:val="4AE73971"/>
    <w:rsid w:val="4AF24623"/>
    <w:rsid w:val="4B0D79C2"/>
    <w:rsid w:val="4B26325B"/>
    <w:rsid w:val="4B707B5B"/>
    <w:rsid w:val="4B745559"/>
    <w:rsid w:val="4B755BA3"/>
    <w:rsid w:val="4B8078D6"/>
    <w:rsid w:val="4B82457B"/>
    <w:rsid w:val="4B9E69A7"/>
    <w:rsid w:val="4B9F471D"/>
    <w:rsid w:val="4BAE1441"/>
    <w:rsid w:val="4BDD6368"/>
    <w:rsid w:val="4BEF5A8E"/>
    <w:rsid w:val="4C1F543B"/>
    <w:rsid w:val="4C245667"/>
    <w:rsid w:val="4C421A8A"/>
    <w:rsid w:val="4C576F06"/>
    <w:rsid w:val="4C6528E3"/>
    <w:rsid w:val="4C6C695F"/>
    <w:rsid w:val="4C8E3033"/>
    <w:rsid w:val="4CD13297"/>
    <w:rsid w:val="4D247B5D"/>
    <w:rsid w:val="4D6A4931"/>
    <w:rsid w:val="4D6D76B7"/>
    <w:rsid w:val="4D76426C"/>
    <w:rsid w:val="4D7677FB"/>
    <w:rsid w:val="4D92145A"/>
    <w:rsid w:val="4DA43BD6"/>
    <w:rsid w:val="4DB47654"/>
    <w:rsid w:val="4DC63991"/>
    <w:rsid w:val="4DC73B97"/>
    <w:rsid w:val="4DD5793A"/>
    <w:rsid w:val="4DF34243"/>
    <w:rsid w:val="4E275DC7"/>
    <w:rsid w:val="4E323096"/>
    <w:rsid w:val="4E5827B1"/>
    <w:rsid w:val="4E5D6199"/>
    <w:rsid w:val="4E632D84"/>
    <w:rsid w:val="4E696FEE"/>
    <w:rsid w:val="4E76155D"/>
    <w:rsid w:val="4E833A0E"/>
    <w:rsid w:val="4E946BED"/>
    <w:rsid w:val="4EDB1DDE"/>
    <w:rsid w:val="4F0B5B6D"/>
    <w:rsid w:val="4F2C3E65"/>
    <w:rsid w:val="4F5C5A81"/>
    <w:rsid w:val="4F7150A7"/>
    <w:rsid w:val="4FB0729A"/>
    <w:rsid w:val="4FD97D15"/>
    <w:rsid w:val="501837B0"/>
    <w:rsid w:val="50207E94"/>
    <w:rsid w:val="50436421"/>
    <w:rsid w:val="50496D46"/>
    <w:rsid w:val="505165ED"/>
    <w:rsid w:val="519B7108"/>
    <w:rsid w:val="519E1869"/>
    <w:rsid w:val="519E7677"/>
    <w:rsid w:val="51C43505"/>
    <w:rsid w:val="51D84EF3"/>
    <w:rsid w:val="51DF4501"/>
    <w:rsid w:val="52617B9A"/>
    <w:rsid w:val="526A0EA3"/>
    <w:rsid w:val="527B3ECE"/>
    <w:rsid w:val="52A56F95"/>
    <w:rsid w:val="52E30177"/>
    <w:rsid w:val="52E5410B"/>
    <w:rsid w:val="52F05286"/>
    <w:rsid w:val="5306714B"/>
    <w:rsid w:val="53186EE4"/>
    <w:rsid w:val="531C52ED"/>
    <w:rsid w:val="533E5A53"/>
    <w:rsid w:val="53417F4F"/>
    <w:rsid w:val="535C1CA7"/>
    <w:rsid w:val="536E3862"/>
    <w:rsid w:val="53A4550B"/>
    <w:rsid w:val="53E97734"/>
    <w:rsid w:val="549402BD"/>
    <w:rsid w:val="549A2529"/>
    <w:rsid w:val="54EC2723"/>
    <w:rsid w:val="55083466"/>
    <w:rsid w:val="550C0DEA"/>
    <w:rsid w:val="5514217D"/>
    <w:rsid w:val="555B0AE3"/>
    <w:rsid w:val="55833F56"/>
    <w:rsid w:val="55A21292"/>
    <w:rsid w:val="55B151A9"/>
    <w:rsid w:val="55BB0B38"/>
    <w:rsid w:val="55BF0E11"/>
    <w:rsid w:val="55EC2B74"/>
    <w:rsid w:val="55FB6C6E"/>
    <w:rsid w:val="55FF30A4"/>
    <w:rsid w:val="56024BA5"/>
    <w:rsid w:val="56136CDA"/>
    <w:rsid w:val="56150ED4"/>
    <w:rsid w:val="56182B77"/>
    <w:rsid w:val="563E3517"/>
    <w:rsid w:val="565E5B98"/>
    <w:rsid w:val="56D67B51"/>
    <w:rsid w:val="56D70299"/>
    <w:rsid w:val="56F31AAD"/>
    <w:rsid w:val="575876A2"/>
    <w:rsid w:val="577A118B"/>
    <w:rsid w:val="577C4714"/>
    <w:rsid w:val="578431C6"/>
    <w:rsid w:val="579F67E1"/>
    <w:rsid w:val="583C2693"/>
    <w:rsid w:val="58761D2A"/>
    <w:rsid w:val="587672FB"/>
    <w:rsid w:val="589255DC"/>
    <w:rsid w:val="58981098"/>
    <w:rsid w:val="5901277B"/>
    <w:rsid w:val="590B1266"/>
    <w:rsid w:val="592525C4"/>
    <w:rsid w:val="59321CCB"/>
    <w:rsid w:val="59564420"/>
    <w:rsid w:val="59753409"/>
    <w:rsid w:val="59A16768"/>
    <w:rsid w:val="59AC094B"/>
    <w:rsid w:val="59AD15AB"/>
    <w:rsid w:val="59B47F65"/>
    <w:rsid w:val="59CB735A"/>
    <w:rsid w:val="59D455F2"/>
    <w:rsid w:val="59E24831"/>
    <w:rsid w:val="59F96F4A"/>
    <w:rsid w:val="59FC4BAE"/>
    <w:rsid w:val="5A301B84"/>
    <w:rsid w:val="5A804E07"/>
    <w:rsid w:val="5A866B2C"/>
    <w:rsid w:val="5AC45BA6"/>
    <w:rsid w:val="5AE57691"/>
    <w:rsid w:val="5B263A9C"/>
    <w:rsid w:val="5B2D4026"/>
    <w:rsid w:val="5B397FB7"/>
    <w:rsid w:val="5B413B37"/>
    <w:rsid w:val="5B490CC0"/>
    <w:rsid w:val="5B640683"/>
    <w:rsid w:val="5B7641FB"/>
    <w:rsid w:val="5B775FD2"/>
    <w:rsid w:val="5B7E3700"/>
    <w:rsid w:val="5B8F66C5"/>
    <w:rsid w:val="5C0C6BEE"/>
    <w:rsid w:val="5C0E47B4"/>
    <w:rsid w:val="5C161418"/>
    <w:rsid w:val="5C303836"/>
    <w:rsid w:val="5C3E421A"/>
    <w:rsid w:val="5C50541C"/>
    <w:rsid w:val="5C530585"/>
    <w:rsid w:val="5C595D12"/>
    <w:rsid w:val="5C62269E"/>
    <w:rsid w:val="5C86060B"/>
    <w:rsid w:val="5C993F97"/>
    <w:rsid w:val="5C9D39DA"/>
    <w:rsid w:val="5CAD3AA7"/>
    <w:rsid w:val="5CB669E4"/>
    <w:rsid w:val="5CDA054E"/>
    <w:rsid w:val="5D070EA5"/>
    <w:rsid w:val="5D090ACA"/>
    <w:rsid w:val="5D226AF7"/>
    <w:rsid w:val="5D3033C6"/>
    <w:rsid w:val="5D433826"/>
    <w:rsid w:val="5D48435F"/>
    <w:rsid w:val="5D832EEF"/>
    <w:rsid w:val="5DC24E50"/>
    <w:rsid w:val="5DF81F3B"/>
    <w:rsid w:val="5DFF18C5"/>
    <w:rsid w:val="5E1A7F73"/>
    <w:rsid w:val="5E2C72EB"/>
    <w:rsid w:val="5E390E1F"/>
    <w:rsid w:val="5E4635CA"/>
    <w:rsid w:val="5E51557F"/>
    <w:rsid w:val="5E567D56"/>
    <w:rsid w:val="5E584923"/>
    <w:rsid w:val="5E6621D5"/>
    <w:rsid w:val="5E8F6FF0"/>
    <w:rsid w:val="5E996241"/>
    <w:rsid w:val="5EA12B1C"/>
    <w:rsid w:val="5EA35790"/>
    <w:rsid w:val="5EBF1F9E"/>
    <w:rsid w:val="5EC01016"/>
    <w:rsid w:val="5ECA3277"/>
    <w:rsid w:val="5EDC5BD0"/>
    <w:rsid w:val="5EDF452C"/>
    <w:rsid w:val="5EEB60D3"/>
    <w:rsid w:val="5EFC7D55"/>
    <w:rsid w:val="5F1F2443"/>
    <w:rsid w:val="5F3B1BE0"/>
    <w:rsid w:val="5F3C47F7"/>
    <w:rsid w:val="5F6246BA"/>
    <w:rsid w:val="5F7543A8"/>
    <w:rsid w:val="5F842392"/>
    <w:rsid w:val="5F991715"/>
    <w:rsid w:val="5FA75A48"/>
    <w:rsid w:val="5FBF6B7E"/>
    <w:rsid w:val="5FC265B3"/>
    <w:rsid w:val="5FE4315F"/>
    <w:rsid w:val="600227C8"/>
    <w:rsid w:val="601A7636"/>
    <w:rsid w:val="602B2D4A"/>
    <w:rsid w:val="60624BDB"/>
    <w:rsid w:val="607779D0"/>
    <w:rsid w:val="60C70A54"/>
    <w:rsid w:val="60E97765"/>
    <w:rsid w:val="60EF7E60"/>
    <w:rsid w:val="60F82C89"/>
    <w:rsid w:val="60FE2C3F"/>
    <w:rsid w:val="6133546F"/>
    <w:rsid w:val="615146FA"/>
    <w:rsid w:val="61974B16"/>
    <w:rsid w:val="619F5A05"/>
    <w:rsid w:val="61E202A6"/>
    <w:rsid w:val="61E4277E"/>
    <w:rsid w:val="61E63E0C"/>
    <w:rsid w:val="62070FA1"/>
    <w:rsid w:val="62093885"/>
    <w:rsid w:val="621217BE"/>
    <w:rsid w:val="621A2113"/>
    <w:rsid w:val="621A6F8F"/>
    <w:rsid w:val="623533CC"/>
    <w:rsid w:val="623B41C7"/>
    <w:rsid w:val="62526D3D"/>
    <w:rsid w:val="62542D9B"/>
    <w:rsid w:val="62833086"/>
    <w:rsid w:val="628C458A"/>
    <w:rsid w:val="62CD2B33"/>
    <w:rsid w:val="632E5C46"/>
    <w:rsid w:val="636859C5"/>
    <w:rsid w:val="636972A4"/>
    <w:rsid w:val="637B5628"/>
    <w:rsid w:val="63870B4C"/>
    <w:rsid w:val="63BD39E6"/>
    <w:rsid w:val="63DB479D"/>
    <w:rsid w:val="63EF3EB1"/>
    <w:rsid w:val="6403436A"/>
    <w:rsid w:val="6414480C"/>
    <w:rsid w:val="64472CE4"/>
    <w:rsid w:val="64620820"/>
    <w:rsid w:val="64681E85"/>
    <w:rsid w:val="647E786B"/>
    <w:rsid w:val="64A433B8"/>
    <w:rsid w:val="64B0133E"/>
    <w:rsid w:val="65311D68"/>
    <w:rsid w:val="6558633E"/>
    <w:rsid w:val="65751AD1"/>
    <w:rsid w:val="65C276F5"/>
    <w:rsid w:val="65EB65E8"/>
    <w:rsid w:val="65EC7B94"/>
    <w:rsid w:val="65EF204B"/>
    <w:rsid w:val="66133F0B"/>
    <w:rsid w:val="6619624C"/>
    <w:rsid w:val="66342E08"/>
    <w:rsid w:val="663D6669"/>
    <w:rsid w:val="66497A6B"/>
    <w:rsid w:val="666B0070"/>
    <w:rsid w:val="66712BBB"/>
    <w:rsid w:val="66B30FDB"/>
    <w:rsid w:val="676E7E87"/>
    <w:rsid w:val="678302BC"/>
    <w:rsid w:val="67A207DF"/>
    <w:rsid w:val="67A32D76"/>
    <w:rsid w:val="67A42616"/>
    <w:rsid w:val="67AA3BE1"/>
    <w:rsid w:val="67BF6715"/>
    <w:rsid w:val="67DE553F"/>
    <w:rsid w:val="67E56BF0"/>
    <w:rsid w:val="67F30E07"/>
    <w:rsid w:val="67FD18C9"/>
    <w:rsid w:val="680451C7"/>
    <w:rsid w:val="68176C23"/>
    <w:rsid w:val="681E5F23"/>
    <w:rsid w:val="6838262E"/>
    <w:rsid w:val="683F6C3E"/>
    <w:rsid w:val="68593FE3"/>
    <w:rsid w:val="6874746B"/>
    <w:rsid w:val="68957C01"/>
    <w:rsid w:val="68A01520"/>
    <w:rsid w:val="68A32333"/>
    <w:rsid w:val="68C6622F"/>
    <w:rsid w:val="690F0C92"/>
    <w:rsid w:val="691555DA"/>
    <w:rsid w:val="69517B32"/>
    <w:rsid w:val="695518DE"/>
    <w:rsid w:val="696514E4"/>
    <w:rsid w:val="69673443"/>
    <w:rsid w:val="69C04ABB"/>
    <w:rsid w:val="69CA5400"/>
    <w:rsid w:val="69EB7AC5"/>
    <w:rsid w:val="6A276579"/>
    <w:rsid w:val="6A904242"/>
    <w:rsid w:val="6AA0434D"/>
    <w:rsid w:val="6AAE0252"/>
    <w:rsid w:val="6AB02F47"/>
    <w:rsid w:val="6ABF7757"/>
    <w:rsid w:val="6AC65BC7"/>
    <w:rsid w:val="6ACE4D37"/>
    <w:rsid w:val="6AD94EA8"/>
    <w:rsid w:val="6AEC3176"/>
    <w:rsid w:val="6B07428B"/>
    <w:rsid w:val="6B1A4247"/>
    <w:rsid w:val="6B526343"/>
    <w:rsid w:val="6B6D0D4F"/>
    <w:rsid w:val="6B9C1A1D"/>
    <w:rsid w:val="6BF55E96"/>
    <w:rsid w:val="6C0B3676"/>
    <w:rsid w:val="6C1300A2"/>
    <w:rsid w:val="6C213165"/>
    <w:rsid w:val="6C2D651B"/>
    <w:rsid w:val="6C3D6662"/>
    <w:rsid w:val="6C43610C"/>
    <w:rsid w:val="6C485EB9"/>
    <w:rsid w:val="6CA640CB"/>
    <w:rsid w:val="6CB135BA"/>
    <w:rsid w:val="6CDE057E"/>
    <w:rsid w:val="6CDF1533"/>
    <w:rsid w:val="6D1051EA"/>
    <w:rsid w:val="6D205895"/>
    <w:rsid w:val="6D351FB7"/>
    <w:rsid w:val="6D5C20F1"/>
    <w:rsid w:val="6DB212CD"/>
    <w:rsid w:val="6E00025A"/>
    <w:rsid w:val="6E1B40DF"/>
    <w:rsid w:val="6E1B7EB7"/>
    <w:rsid w:val="6E2D6569"/>
    <w:rsid w:val="6E2E148A"/>
    <w:rsid w:val="6E7C4447"/>
    <w:rsid w:val="6EBE1E3F"/>
    <w:rsid w:val="6EE10409"/>
    <w:rsid w:val="6EF9441A"/>
    <w:rsid w:val="6EFD10F6"/>
    <w:rsid w:val="6F03408E"/>
    <w:rsid w:val="6F227649"/>
    <w:rsid w:val="6F45301C"/>
    <w:rsid w:val="6F461335"/>
    <w:rsid w:val="6F5C6426"/>
    <w:rsid w:val="6F9A78BF"/>
    <w:rsid w:val="6FC21988"/>
    <w:rsid w:val="6FCC0769"/>
    <w:rsid w:val="6FD71E11"/>
    <w:rsid w:val="7001089D"/>
    <w:rsid w:val="70347B1B"/>
    <w:rsid w:val="706E0DB9"/>
    <w:rsid w:val="70C7777F"/>
    <w:rsid w:val="70DC0F3A"/>
    <w:rsid w:val="71412611"/>
    <w:rsid w:val="715C6E4A"/>
    <w:rsid w:val="715F7D1F"/>
    <w:rsid w:val="71A71FB4"/>
    <w:rsid w:val="71CC7543"/>
    <w:rsid w:val="71ED7A78"/>
    <w:rsid w:val="72146FE5"/>
    <w:rsid w:val="721A7D64"/>
    <w:rsid w:val="72282507"/>
    <w:rsid w:val="722F10FA"/>
    <w:rsid w:val="7234129A"/>
    <w:rsid w:val="72476A02"/>
    <w:rsid w:val="725E37C6"/>
    <w:rsid w:val="72620D8B"/>
    <w:rsid w:val="726F7E37"/>
    <w:rsid w:val="7274774E"/>
    <w:rsid w:val="72AA2887"/>
    <w:rsid w:val="72DD7B69"/>
    <w:rsid w:val="730D391B"/>
    <w:rsid w:val="73525B60"/>
    <w:rsid w:val="7396760B"/>
    <w:rsid w:val="73A919D8"/>
    <w:rsid w:val="73B870F9"/>
    <w:rsid w:val="73BC0182"/>
    <w:rsid w:val="73C82D6A"/>
    <w:rsid w:val="73DC2F75"/>
    <w:rsid w:val="73DF12A1"/>
    <w:rsid w:val="742B7B91"/>
    <w:rsid w:val="7481048C"/>
    <w:rsid w:val="74966354"/>
    <w:rsid w:val="74B62F38"/>
    <w:rsid w:val="74BA2E14"/>
    <w:rsid w:val="750263A5"/>
    <w:rsid w:val="752F546D"/>
    <w:rsid w:val="756015F8"/>
    <w:rsid w:val="759D747D"/>
    <w:rsid w:val="75A67A21"/>
    <w:rsid w:val="75B74AA0"/>
    <w:rsid w:val="75BD5C32"/>
    <w:rsid w:val="75E848BC"/>
    <w:rsid w:val="761F029E"/>
    <w:rsid w:val="762D47F8"/>
    <w:rsid w:val="762F4253"/>
    <w:rsid w:val="76355280"/>
    <w:rsid w:val="7655794F"/>
    <w:rsid w:val="76C57D8A"/>
    <w:rsid w:val="76E15DFB"/>
    <w:rsid w:val="76E44C9C"/>
    <w:rsid w:val="7753681B"/>
    <w:rsid w:val="775F5B45"/>
    <w:rsid w:val="77667C2A"/>
    <w:rsid w:val="7768486C"/>
    <w:rsid w:val="777D0E86"/>
    <w:rsid w:val="777E4E9B"/>
    <w:rsid w:val="77820D78"/>
    <w:rsid w:val="779C4B53"/>
    <w:rsid w:val="77B15C8C"/>
    <w:rsid w:val="77B34A1D"/>
    <w:rsid w:val="77B91A0C"/>
    <w:rsid w:val="78431FAF"/>
    <w:rsid w:val="78640611"/>
    <w:rsid w:val="78724A45"/>
    <w:rsid w:val="78823025"/>
    <w:rsid w:val="78CF7CC0"/>
    <w:rsid w:val="79153558"/>
    <w:rsid w:val="793D4199"/>
    <w:rsid w:val="79421110"/>
    <w:rsid w:val="797F6542"/>
    <w:rsid w:val="799228EE"/>
    <w:rsid w:val="79940D02"/>
    <w:rsid w:val="79CD2757"/>
    <w:rsid w:val="79D07C69"/>
    <w:rsid w:val="79FE72AE"/>
    <w:rsid w:val="7A481C15"/>
    <w:rsid w:val="7A6E4950"/>
    <w:rsid w:val="7A817929"/>
    <w:rsid w:val="7A837B47"/>
    <w:rsid w:val="7B117353"/>
    <w:rsid w:val="7B12208E"/>
    <w:rsid w:val="7B2456A1"/>
    <w:rsid w:val="7B2C1F5B"/>
    <w:rsid w:val="7B550B7A"/>
    <w:rsid w:val="7B5A7743"/>
    <w:rsid w:val="7B711997"/>
    <w:rsid w:val="7BCC1A1B"/>
    <w:rsid w:val="7BE7222B"/>
    <w:rsid w:val="7BF66B1F"/>
    <w:rsid w:val="7C27553B"/>
    <w:rsid w:val="7C391D27"/>
    <w:rsid w:val="7C446581"/>
    <w:rsid w:val="7C62561D"/>
    <w:rsid w:val="7CEB5EE7"/>
    <w:rsid w:val="7CEC4DD7"/>
    <w:rsid w:val="7CF251BA"/>
    <w:rsid w:val="7D261A42"/>
    <w:rsid w:val="7D312820"/>
    <w:rsid w:val="7D7341DE"/>
    <w:rsid w:val="7D757A64"/>
    <w:rsid w:val="7D9A7C4B"/>
    <w:rsid w:val="7D9C542E"/>
    <w:rsid w:val="7DA17EF3"/>
    <w:rsid w:val="7DA85D23"/>
    <w:rsid w:val="7DC164F6"/>
    <w:rsid w:val="7DCA0A20"/>
    <w:rsid w:val="7DDF5D95"/>
    <w:rsid w:val="7DE61A73"/>
    <w:rsid w:val="7E263509"/>
    <w:rsid w:val="7E397AD8"/>
    <w:rsid w:val="7E597C40"/>
    <w:rsid w:val="7EAA2389"/>
    <w:rsid w:val="7EF40E65"/>
    <w:rsid w:val="7F4A625C"/>
    <w:rsid w:val="7F577381"/>
    <w:rsid w:val="7F607432"/>
    <w:rsid w:val="7FCC438E"/>
    <w:rsid w:val="7FCE147D"/>
    <w:rsid w:val="7FEB723C"/>
    <w:rsid w:val="7FEF32F6"/>
    <w:rsid w:val="7FF26771"/>
    <w:rsid w:val="7FF66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Char1"/>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character" w:customStyle="1" w:styleId="32">
    <w:name w:val="未处理的提及"/>
    <w:unhideWhenUsed/>
    <w:qFormat/>
    <w:uiPriority w:val="99"/>
    <w:rPr>
      <w:color w:val="605E5C"/>
      <w:shd w:val="clear" w:color="auto" w:fill="E1DFDD"/>
    </w:rPr>
  </w:style>
  <w:style w:type="paragraph" w:customStyle="1" w:styleId="33">
    <w:name w:val="Char Char Char Char Char Char Char Char Char Char Char Char"/>
    <w:basedOn w:val="1"/>
    <w:qFormat/>
    <w:uiPriority w:val="0"/>
    <w:pPr>
      <w:widowControl/>
      <w:spacing w:after="160" w:line="240" w:lineRule="exact"/>
      <w:jc w:val="left"/>
    </w:pPr>
    <w:rPr>
      <w:rFonts w:ascii="Tahoma" w:hAnsi="Tahoma" w:cs="Tahoma"/>
      <w:szCs w:val="21"/>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修订1"/>
    <w:semiHidden/>
    <w:qFormat/>
    <w:uiPriority w:val="99"/>
    <w:rPr>
      <w:rFonts w:ascii="Times New Roman" w:hAnsi="Times New Roman" w:eastAsia="宋体" w:cs="Times New Roman"/>
      <w:kern w:val="2"/>
      <w:sz w:val="21"/>
      <w:szCs w:val="22"/>
      <w:lang w:val="en-US" w:eastAsia="zh-CN" w:bidi="ar-SA"/>
    </w:rPr>
  </w:style>
  <w:style w:type="paragraph" w:customStyle="1" w:styleId="36">
    <w:name w:val="Table Paragraph"/>
    <w:basedOn w:val="1"/>
    <w:qFormat/>
    <w:uiPriority w:val="1"/>
    <w:pPr>
      <w:autoSpaceDE w:val="0"/>
      <w:autoSpaceDN w:val="0"/>
      <w:adjustRightInd w:val="0"/>
      <w:jc w:val="left"/>
    </w:pPr>
    <w:rPr>
      <w:kern w:val="0"/>
      <w:sz w:val="24"/>
      <w:szCs w:val="24"/>
    </w:rPr>
  </w:style>
  <w:style w:type="paragraph" w:styleId="37">
    <w:name w:val="List Paragraph"/>
    <w:basedOn w:val="1"/>
    <w:qFormat/>
    <w:uiPriority w:val="72"/>
    <w:pPr>
      <w:ind w:firstLine="420" w:firstLineChars="200"/>
    </w:pPr>
  </w:style>
  <w:style w:type="character" w:customStyle="1" w:styleId="38">
    <w:name w:val="脚注文本 Char"/>
    <w:semiHidden/>
    <w:qFormat/>
    <w:uiPriority w:val="99"/>
    <w:rPr>
      <w:kern w:val="2"/>
      <w:sz w:val="18"/>
      <w:szCs w:val="18"/>
    </w:rPr>
  </w:style>
  <w:style w:type="character" w:customStyle="1" w:styleId="39">
    <w:name w:val="markedcontent"/>
    <w:qFormat/>
    <w:uiPriority w:val="0"/>
  </w:style>
  <w:style w:type="character" w:customStyle="1" w:styleId="40">
    <w:name w:val="fontstyle01"/>
    <w:qFormat/>
    <w:uiPriority w:val="0"/>
    <w:rPr>
      <w:rFonts w:hint="eastAsia" w:ascii="宋体" w:hAnsi="宋体" w:eastAsia="宋体"/>
      <w:color w:val="000000"/>
      <w:sz w:val="22"/>
      <w:szCs w:val="22"/>
    </w:rPr>
  </w:style>
  <w:style w:type="character" w:styleId="41">
    <w:name w:val="Placeholder Text"/>
    <w:basedOn w:val="16"/>
    <w:unhideWhenUsed/>
    <w:qFormat/>
    <w:uiPriority w:val="99"/>
    <w:rPr>
      <w:color w:val="808080"/>
    </w:rPr>
  </w:style>
  <w:style w:type="paragraph" w:customStyle="1" w:styleId="42">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43">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44">
    <w:name w:val="修订4"/>
    <w:hidden/>
    <w:unhideWhenUsed/>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theme" Target="theme/theme1.xml"/><Relationship Id="rId11" Type="http://schemas.openxmlformats.org/officeDocument/2006/relationships/footer" Target="footer2.xml"/><Relationship Id="rId10" Type="http://schemas.openxmlformats.org/officeDocument/2006/relationships/header" Target="head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70"/>
    <customShpInfo spid="_x0000_s2072"/>
    <customShpInfo spid="_x0000_s2069"/>
    <customShpInfo spid="_x0000_s2060"/>
    <customShpInfo spid="_x0000_s2059"/>
    <customShpInfo spid="_x0000_s2058"/>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70D1EF-01AF-4534-9965-67245C61A3C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39133</Words>
  <Characters>40479</Characters>
  <Lines>290</Lines>
  <Paragraphs>81</Paragraphs>
  <TotalTime>1</TotalTime>
  <ScaleCrop>false</ScaleCrop>
  <LinksUpToDate>false</LinksUpToDate>
  <CharactersWithSpaces>40754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2022-11-13T05:12:00Z</dcterms:created>
  <dc:creator>JSYH</dc:creator>
  <cp:lastModifiedBy>jsyh</cp:lastModifiedBy>
  <cp:lastPrinted>2022-03-04T08:58:00Z</cp:lastPrinted>
  <dcterms:modified xsi:type="dcterms:W3CDTF">2025-02-07T03:12:41Z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A30B4F8233A641D28C6BDF6F2DC6A43F</vt:lpwstr>
  </property>
  <property fmtid="{D5CDD505-2E9C-101B-9397-08002B2CF9AE}" pid="4" name="5B77E7CEEC58BC6AFAE8886BEB80DBEB">
    <vt:lpwstr>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</vt:lpwstr>
  </property>
</Properties>
</file>