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“苏银理财恒源6月定开19期”</w:t>
      </w:r>
    </w:p>
    <w:p>
      <w:pPr>
        <w:widowControl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理财产品开放期公告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“苏银理财恒源6月定开19期”已于2025年2月7日开放确认，管理人使用2025年2月6日的份额单位净值对各份额的申购/赎回申请进行确认。2025年2月6日净值信息如下：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3090"/>
        <w:gridCol w:w="1916"/>
        <w:gridCol w:w="19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单位净值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累计单位净值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J03056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苏银理财恒源6月定开19期A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1.030018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J03057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苏银理财恒源6月定开19期C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1.031068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J03058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苏银理财恒源6月定开19期D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1.031593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J03059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苏银理财恒源6月定开19期F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1.030021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J03060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苏银理财恒源6月定开19期G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1.031071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J03061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苏银理财恒源6月定开19期L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1.030025</w:t>
            </w:r>
          </w:p>
        </w:tc>
      </w:tr>
    </w:tbl>
    <w:p>
      <w:pPr>
        <w:widowControl/>
        <w:ind w:firstLine="540" w:firstLineChars="20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上一投资周期为2024年7月30日-2025年2月6日，该投资周期业绩表现如下：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3088"/>
        <w:gridCol w:w="1406"/>
        <w:gridCol w:w="2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每单位份额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分红（元）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（2024年7月30日-2025年2月6日）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J03056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苏银理财恒源6月定开19期A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0.013623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2.59%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J03057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苏银理财恒源6月定开19期C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0.014157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J03058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苏银理财恒源6月定开19期D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0.014424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2.74%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J03059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苏银理财恒源6月定开19期F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0.013626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2.59%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J03060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苏银理财恒源6月定开19期G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0.014160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J03061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苏银理财恒源6月定开19期L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0.013629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2.59%</w:t>
            </w:r>
          </w:p>
        </w:tc>
      </w:tr>
    </w:tbl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Cs w:val="21"/>
        </w:rPr>
        <w:t>注：分红金额以实际入账为准。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2025年2月7日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5C7A18AE"/>
    <w:rsid w:val="73D5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5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2025-02-07T00:57:51Z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