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“苏银理财恒源1年定开38期”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“苏银理财恒源1年定开38期”已于2025年1月21日开放确认，管理人使用2025年1月20日的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份额单位净值对各份额的申购/赎回申请进行确认。2025年1月20日净值信息如下：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J02200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苏银理财恒源1年定开38期A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1.080058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J02201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苏银理财恒源1年定开38期B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1.081356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J03021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苏银理财恒源1年定开38期D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1.037136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J03022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苏银理财恒源1年定开38期F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1.035594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J02202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苏银理财恒源1年定开38期G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1.082806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J03023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苏银理财恒源1年定开38期J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1.036622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J03024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苏银理财恒源1年定开38期ZA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1.035594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J03025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苏银理财恒源1年定开38期ZF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1.035594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上一投资周期为2024年1月19日-2025年1月20日，该投资周期业绩表现如下：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（2024年1月19日-2025年1月20日）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J02200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苏银理财恒源1年定开38期A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0.035593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3.53%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J02201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苏银理财恒源1年定开38期B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0.035900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3.56%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J03021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苏银理财恒源1年定开38期D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0.037136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3.68%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J03022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苏银理财恒源1年定开38期F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0.035594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3.53%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J02202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苏银理财恒源1年定开38期G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0.036621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3.63%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J03023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苏银理财恒源1年定开38期J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0.036622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3.63%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J03024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苏银理财恒源1年定开38期ZA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0.035594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3.53%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J03025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苏银理财恒源1年定开38期ZF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0.035594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3.53%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2025年1月21日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842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10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2025-01-22T01:00:11Z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