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before="312" w:beforeLines="100" w:beforeAutospacing="0" w:after="0" w:afterAutospacing="0"/>
        <w:jc w:val="center"/>
        <w:rPr>
          <w:rFonts w:ascii="楷体" w:hAnsi="楷体" w:eastAsia="楷体"/>
          <w:b/>
          <w:sz w:val="36"/>
          <w:szCs w:val="36"/>
        </w:rPr>
      </w:pPr>
      <w:bookmarkStart w:id="0" w:name="_Hlk167980769"/>
      <w:r>
        <w:rPr>
          <w:rFonts w:ascii="楷体" w:hAnsi="楷体" w:eastAsia="楷体"/>
        </w:rPr>
        <w:pict>
          <v:shape id="文本框 1" o:spid="_x0000_s2050" o:spt="202" type="#_x0000_t202" style="position:absolute;left:0pt;margin-left:-16pt;margin-top:1.35pt;height:173.95pt;width:447.4pt;mso-position-horizontal-relative:margin;mso-wrap-distance-bottom:3.6pt;mso-wrap-distance-left:9pt;mso-wrap-distance-right:9pt;mso-wrap-distance-top:3.6pt;z-index:251659264;mso-width-relative:page;mso-height-relative:page;" filled="f" coordsize="21600,21600" o:gfxdata="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zTV37YAAAACgEAAA8AAAAAAAAAAQAg&#10;AAAAIgAAAGRycy9kb3ducmV2LnhtbFBLAQIUABQAAAAIAIdO4kDbmGZ3DgIAABkEAAAOAAAAAAAA&#10;AAEAIAAAACcBAABkcnMvZTJvRG9jLnhtbFBLBQYAAAAABgAGAFkBAACnBQAAAAA=&#10;">
            <v:path/>
            <v:fill on="f" focussize="0,0"/>
            <v:stroke joinstyle="miter"/>
            <v:imagedata o:title=""/>
            <o:lock v:ext="edit"/>
            <v:textbox>
              <w:txbxContent>
                <w:p>
                  <w:pPr>
                    <w:spacing w:before="156" w:beforeLines="50" w:line="0" w:lineRule="atLeast"/>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firstLine="414" w:firstLineChars="200"/>
                    <w:rPr>
                      <w:rFonts w:ascii="楷体" w:hAnsi="楷体" w:eastAsia="楷体" w:cs="宋体"/>
                      <w:b/>
                      <w:spacing w:val="-2"/>
                      <w:szCs w:val="21"/>
                      <w:u w:val="single"/>
                    </w:rPr>
                  </w:pPr>
                  <w:r>
                    <w:rPr>
                      <w:rFonts w:hint="eastAsia" w:ascii="楷体" w:hAnsi="楷体" w:eastAsia="楷体" w:cs="宋体"/>
                      <w:b/>
                      <w:spacing w:val="-2"/>
                      <w:szCs w:val="21"/>
                      <w:u w:val="single"/>
                    </w:rPr>
                    <w:t>本产品为封闭式理财产品，存续期内投资者不能赎回，这可能影响投资者的资金安排，请根据自身资金使用需要购买。</w:t>
                  </w:r>
                </w:p>
                <w:p>
                  <w:pPr>
                    <w:numPr>
                      <w:ilvl w:val="0"/>
                      <w:numId w:val="1"/>
                    </w:numPr>
                    <w:ind w:firstLine="414" w:firstLineChars="200"/>
                    <w:rPr>
                      <w:rFonts w:ascii="楷体" w:hAnsi="楷体" w:eastAsia="楷体" w:cs="宋体"/>
                      <w:b/>
                      <w:spacing w:val="-2"/>
                      <w:szCs w:val="21"/>
                      <w:u w:val="single"/>
                    </w:rPr>
                  </w:pPr>
                  <w:r>
                    <w:rPr>
                      <w:rFonts w:hint="eastAsia" w:ascii="楷体" w:hAnsi="楷体" w:eastAsia="楷体" w:cs="宋体"/>
                      <w:b/>
                      <w:spacing w:val="-2"/>
                      <w:szCs w:val="21"/>
                      <w:u w:val="single"/>
                    </w:rPr>
                    <w:t>本产品设置有多个份额，各份额按照设置的销售对象和销售起点进行销售，各份额实际收取的销售服务费率、投资管理费率以及业绩比较基准存在差异，客户根据产品销售时设置的条件自主选择购买。</w:t>
                  </w:r>
                </w:p>
                <w:p>
                  <w:pPr>
                    <w:numPr>
                      <w:ilvl w:val="0"/>
                      <w:numId w:val="1"/>
                    </w:numPr>
                    <w:ind w:firstLine="414" w:firstLineChars="200"/>
                    <w:rPr>
                      <w:rFonts w:ascii="楷体" w:hAnsi="楷体" w:eastAsia="楷体"/>
                    </w:rPr>
                  </w:pPr>
                  <w:r>
                    <w:rPr>
                      <w:rFonts w:hint="eastAsia" w:ascii="楷体" w:hAnsi="楷体" w:eastAsia="楷体" w:cs="宋体"/>
                      <w:b/>
                      <w:spacing w:val="-2"/>
                      <w:szCs w:val="21"/>
                      <w:u w:val="single"/>
                    </w:rPr>
                    <w:t>业绩比较基准为管理人对本产品所设定的投资目标，不代表理财产品未来表现，不等于理财产品实际收益，不作为产品收益的业绩保证，投资者的实际收益由产品净值表现决定。</w:t>
                  </w:r>
                </w:p>
                <w:p>
                  <w:pPr>
                    <w:numPr>
                      <w:ilvl w:val="0"/>
                      <w:numId w:val="1"/>
                    </w:numPr>
                    <w:ind w:firstLine="414" w:firstLineChars="200"/>
                    <w:rPr>
                      <w:rFonts w:ascii="楷体" w:hAnsi="楷体" w:eastAsia="楷体"/>
                    </w:rPr>
                  </w:pPr>
                  <w:r>
                    <w:rPr>
                      <w:rFonts w:hint="eastAsia" w:ascii="楷体" w:hAnsi="楷体" w:eastAsia="楷体" w:cs="宋体"/>
                      <w:b/>
                      <w:spacing w:val="-2"/>
                      <w:szCs w:val="21"/>
                      <w:u w:val="single"/>
                    </w:rPr>
                    <w:t>客户服务热线：95319-8-2。</w:t>
                  </w:r>
                </w:p>
                <w:p>
                  <w:pPr>
                    <w:ind w:left="420" w:leftChars="200"/>
                    <w:rPr>
                      <w:rFonts w:ascii="楷体" w:hAnsi="楷体" w:eastAsia="楷体"/>
                    </w:rPr>
                  </w:pPr>
                  <w:r>
                    <w:rPr>
                      <w:rFonts w:hint="eastAsia" w:ascii="楷体" w:hAnsi="楷体" w:eastAsia="楷体"/>
                    </w:rPr>
                    <w:t>以上为本产品的特别提示，详细内容请仔细阅读理财产品合同。</w:t>
                  </w:r>
                </w:p>
              </w:txbxContent>
            </v:textbox>
            <w10:wrap type="square"/>
          </v:shape>
        </w:pict>
      </w:r>
      <w:r>
        <w:rPr>
          <w:rFonts w:hint="eastAsia" w:ascii="楷体" w:hAnsi="楷体" w:eastAsia="楷体"/>
          <w:b/>
          <w:sz w:val="36"/>
          <w:szCs w:val="36"/>
        </w:rPr>
        <w:t>“苏银理财</w:t>
      </w:r>
      <w:r>
        <w:rPr>
          <w:rFonts w:hint="eastAsia" w:ascii="楷体" w:hAnsi="楷体" w:eastAsia="楷体"/>
          <w:b/>
          <w:sz w:val="36"/>
          <w:szCs w:val="36"/>
          <w:lang w:eastAsia="zh-CN"/>
        </w:rPr>
        <w:t>恒源封闭债权150期</w:t>
      </w:r>
      <w:r>
        <w:rPr>
          <w:rFonts w:hint="eastAsia" w:ascii="楷体" w:hAnsi="楷体" w:eastAsia="楷体"/>
          <w:b/>
          <w:sz w:val="36"/>
          <w:szCs w:val="36"/>
        </w:rPr>
        <w:t>”理财产品合同</w:t>
      </w:r>
    </w:p>
    <w:p>
      <w:pPr>
        <w:pStyle w:val="13"/>
        <w:spacing w:before="0" w:beforeAutospacing="0" w:after="0" w:afterAutospacing="0" w:line="360" w:lineRule="auto"/>
        <w:jc w:val="center"/>
        <w:rPr>
          <w:rFonts w:ascii="楷体" w:hAnsi="楷体" w:eastAsia="楷体"/>
          <w:b/>
        </w:rPr>
      </w:pPr>
      <w:r>
        <w:rPr>
          <w:rFonts w:hint="eastAsia" w:ascii="楷体" w:hAnsi="楷体" w:eastAsia="楷体"/>
          <w:b/>
          <w:sz w:val="32"/>
          <w:szCs w:val="32"/>
        </w:rPr>
        <w:t>理财非存款、产品有风险、投资须谨慎</w:t>
      </w:r>
    </w:p>
    <w:p>
      <w:pPr>
        <w:pStyle w:val="13"/>
        <w:spacing w:before="0" w:beforeAutospacing="0" w:after="156" w:afterLines="50" w:afterAutospacing="0" w:line="360" w:lineRule="auto"/>
        <w:jc w:val="center"/>
        <w:rPr>
          <w:rFonts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1</w:t>
      </w:r>
      <w:r>
        <w:rPr>
          <w:rFonts w:hint="eastAsia" w:ascii="楷体" w:hAnsi="楷体" w:eastAsia="楷体"/>
          <w:b/>
        </w:rPr>
        <w:t>月版）</w:t>
      </w:r>
    </w:p>
    <w:tbl>
      <w:tblPr>
        <w:tblStyle w:val="15"/>
        <w:tblW w:w="0" w:type="auto"/>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387"/>
        <w:gridCol w:w="255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5" w:hRule="atLeast"/>
        </w:trPr>
        <w:tc>
          <w:tcPr>
            <w:tcW w:w="993"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Style w:val="18"/>
                <w:rFonts w:hint="eastAsia" w:ascii="楷体" w:hAnsi="楷体" w:eastAsia="楷体"/>
                <w:bCs w:val="0"/>
                <w:sz w:val="18"/>
                <w:szCs w:val="18"/>
              </w:rPr>
              <w:t>序号</w:t>
            </w:r>
          </w:p>
        </w:tc>
        <w:tc>
          <w:tcPr>
            <w:tcW w:w="5387"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Style w:val="18"/>
                <w:rFonts w:hint="eastAsia" w:ascii="楷体" w:hAnsi="楷体" w:eastAsia="楷体"/>
                <w:bCs w:val="0"/>
                <w:sz w:val="18"/>
                <w:szCs w:val="18"/>
              </w:rPr>
              <w:t>理财产品合同中的具体文件名称</w:t>
            </w:r>
          </w:p>
        </w:tc>
        <w:tc>
          <w:tcPr>
            <w:tcW w:w="2551"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Style w:val="18"/>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5" w:hRule="atLeast"/>
        </w:trPr>
        <w:tc>
          <w:tcPr>
            <w:tcW w:w="993"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1</w:t>
            </w:r>
          </w:p>
        </w:tc>
        <w:tc>
          <w:tcPr>
            <w:tcW w:w="5387"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“苏银理财</w:t>
            </w:r>
            <w:r>
              <w:rPr>
                <w:rFonts w:hint="eastAsia" w:ascii="楷体" w:hAnsi="楷体" w:eastAsia="楷体"/>
                <w:sz w:val="18"/>
                <w:szCs w:val="18"/>
                <w:lang w:eastAsia="zh-CN"/>
              </w:rPr>
              <w:t>恒源封闭债权150期</w:t>
            </w:r>
            <w:r>
              <w:rPr>
                <w:rFonts w:hint="eastAsia" w:ascii="楷体" w:hAnsi="楷体" w:eastAsia="楷体"/>
                <w:sz w:val="18"/>
                <w:szCs w:val="18"/>
              </w:rPr>
              <w:t>”理财产品风险揭示书</w:t>
            </w:r>
          </w:p>
        </w:tc>
        <w:tc>
          <w:tcPr>
            <w:tcW w:w="2551"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5" w:hRule="atLeast"/>
        </w:trPr>
        <w:tc>
          <w:tcPr>
            <w:tcW w:w="993"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2</w:t>
            </w:r>
          </w:p>
        </w:tc>
        <w:tc>
          <w:tcPr>
            <w:tcW w:w="5387"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“苏银理财</w:t>
            </w:r>
            <w:r>
              <w:rPr>
                <w:rFonts w:hint="eastAsia" w:ascii="楷体" w:hAnsi="楷体" w:eastAsia="楷体"/>
                <w:sz w:val="18"/>
                <w:szCs w:val="18"/>
                <w:lang w:eastAsia="zh-CN"/>
              </w:rPr>
              <w:t>恒源封闭债权150期</w:t>
            </w:r>
            <w:r>
              <w:rPr>
                <w:rFonts w:hint="eastAsia" w:ascii="楷体" w:hAnsi="楷体" w:eastAsia="楷体"/>
                <w:sz w:val="18"/>
                <w:szCs w:val="18"/>
              </w:rPr>
              <w:t>”理财产品说明书</w:t>
            </w:r>
          </w:p>
        </w:tc>
        <w:tc>
          <w:tcPr>
            <w:tcW w:w="2551"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5" w:hRule="atLeast"/>
        </w:trPr>
        <w:tc>
          <w:tcPr>
            <w:tcW w:w="993"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3</w:t>
            </w:r>
          </w:p>
        </w:tc>
        <w:tc>
          <w:tcPr>
            <w:tcW w:w="5387"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551"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5" w:hRule="atLeast"/>
        </w:trPr>
        <w:tc>
          <w:tcPr>
            <w:tcW w:w="993"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4</w:t>
            </w:r>
          </w:p>
        </w:tc>
        <w:tc>
          <w:tcPr>
            <w:tcW w:w="5387"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投资者权益须知</w:t>
            </w:r>
            <w:r>
              <w:rPr>
                <w:rStyle w:val="21"/>
                <w:rFonts w:ascii="楷体" w:hAnsi="楷体" w:eastAsia="楷体"/>
              </w:rPr>
              <w:footnoteReference w:id="0"/>
            </w:r>
          </w:p>
        </w:tc>
        <w:tc>
          <w:tcPr>
            <w:tcW w:w="2551"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5" w:hRule="atLeast"/>
        </w:trPr>
        <w:tc>
          <w:tcPr>
            <w:tcW w:w="993"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5</w:t>
            </w:r>
          </w:p>
        </w:tc>
        <w:tc>
          <w:tcPr>
            <w:tcW w:w="5387"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理财产品（代理）销售协议书</w:t>
            </w:r>
            <w:r>
              <w:rPr>
                <w:rStyle w:val="21"/>
                <w:rFonts w:ascii="楷体" w:hAnsi="楷体" w:eastAsia="楷体"/>
              </w:rPr>
              <w:footnoteReference w:id="1"/>
            </w:r>
          </w:p>
        </w:tc>
        <w:tc>
          <w:tcPr>
            <w:tcW w:w="2551" w:type="dxa"/>
            <w:tcBorders>
              <w:top w:val="single" w:color="auto" w:sz="12" w:space="0"/>
              <w:left w:val="single" w:color="auto" w:sz="12" w:space="0"/>
              <w:bottom w:val="single" w:color="auto" w:sz="12" w:space="0"/>
              <w:right w:val="single" w:color="auto" w:sz="12" w:space="0"/>
            </w:tcBorders>
            <w:vAlign w:val="center"/>
          </w:tcPr>
          <w:p>
            <w:pPr>
              <w:pStyle w:val="13"/>
              <w:spacing w:before="0" w:beforeAutospacing="0" w:after="0" w:afterAutospacing="0"/>
              <w:jc w:val="center"/>
              <w:rPr>
                <w:rFonts w:ascii="楷体" w:hAnsi="楷体" w:eastAsia="楷体"/>
                <w:sz w:val="18"/>
                <w:szCs w:val="18"/>
              </w:rPr>
            </w:pPr>
            <w:r>
              <w:rPr>
                <w:rFonts w:hint="eastAsia" w:ascii="楷体" w:hAnsi="楷体" w:eastAsia="楷体"/>
                <w:sz w:val="18"/>
                <w:szCs w:val="18"/>
              </w:rPr>
              <w:t>理财产品（代理）销售协议书</w:t>
            </w:r>
          </w:p>
        </w:tc>
      </w:tr>
    </w:tbl>
    <w:p>
      <w:pPr>
        <w:pStyle w:val="13"/>
        <w:spacing w:before="156" w:beforeLines="50" w:beforeAutospacing="0" w:after="156" w:afterLines="50" w:afterAutospacing="0"/>
        <w:rPr>
          <w:rFonts w:ascii="楷体" w:hAnsi="楷体" w:eastAsia="楷体"/>
        </w:rPr>
      </w:pPr>
      <w:r>
        <w:rPr>
          <w:rStyle w:val="18"/>
          <w:rFonts w:hint="eastAsia" w:ascii="楷体" w:hAnsi="楷体" w:eastAsia="楷体"/>
          <w:bCs w:val="0"/>
        </w:rPr>
        <w:t>郑重提示：</w:t>
      </w:r>
    </w:p>
    <w:p>
      <w:pPr>
        <w:pStyle w:val="13"/>
        <w:spacing w:before="0" w:beforeAutospacing="0" w:after="0" w:afterAutospacing="0"/>
        <w:ind w:firstLine="480" w:firstLineChars="200"/>
        <w:rPr>
          <w:rFonts w:ascii="楷体" w:hAnsi="楷体" w:eastAsia="楷体"/>
        </w:rPr>
      </w:pPr>
      <w:r>
        <w:rPr>
          <w:rFonts w:hint="eastAsia" w:ascii="楷体" w:hAnsi="楷体" w:eastAsia="楷体" w:cs="Times New Roman"/>
        </w:rPr>
        <w:t>《风险揭示书》、《理财产品说明书》、《理财产品（代理）销售协议书》、</w:t>
      </w:r>
      <w:r>
        <w:rPr>
          <w:rFonts w:ascii="楷体" w:hAnsi="楷体" w:eastAsia="楷体" w:cs="Times New Roman"/>
        </w:rPr>
        <w:t>《</w:t>
      </w:r>
      <w:r>
        <w:rPr>
          <w:rFonts w:hint="eastAsia" w:ascii="楷体" w:hAnsi="楷体" w:eastAsia="楷体" w:cs="Times New Roman"/>
        </w:rPr>
        <w:t>理财产品投资协议书</w:t>
      </w:r>
      <w:r>
        <w:rPr>
          <w:rFonts w:ascii="楷体" w:hAnsi="楷体" w:eastAsia="楷体" w:cs="Times New Roman"/>
        </w:rPr>
        <w:t>》</w:t>
      </w:r>
      <w:r>
        <w:rPr>
          <w:rFonts w:hint="eastAsia" w:ascii="楷体" w:hAnsi="楷体" w:eastAsia="楷体" w:cs="Times New Roman"/>
        </w:rPr>
        <w:t>、《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spacing w:before="0" w:beforeAutospacing="0" w:after="0" w:afterAutospacing="0"/>
        <w:ind w:firstLine="480" w:firstLineChars="200"/>
        <w:rPr>
          <w:rFonts w:ascii="楷体" w:hAnsi="楷体" w:eastAsia="楷体" w:cs="黑体"/>
          <w:sz w:val="30"/>
          <w:szCs w:val="30"/>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3"/>
        <w:pageBreakBefore/>
        <w:spacing w:before="0" w:beforeAutospacing="0" w:after="0" w:afterAutospacing="0" w:line="360" w:lineRule="auto"/>
        <w:jc w:val="center"/>
        <w:rPr>
          <w:rFonts w:ascii="楷体" w:hAnsi="楷体" w:eastAsia="楷体"/>
          <w:b/>
          <w:sz w:val="32"/>
          <w:szCs w:val="32"/>
        </w:rPr>
      </w:pPr>
      <w:r>
        <w:rPr>
          <w:rFonts w:hint="eastAsia" w:ascii="楷体" w:hAnsi="楷体" w:eastAsia="楷体"/>
          <w:b/>
          <w:sz w:val="32"/>
          <w:szCs w:val="32"/>
        </w:rPr>
        <w:t>“苏银理财</w:t>
      </w:r>
      <w:r>
        <w:rPr>
          <w:rFonts w:hint="eastAsia" w:ascii="楷体" w:hAnsi="楷体" w:eastAsia="楷体"/>
          <w:b/>
          <w:sz w:val="32"/>
          <w:szCs w:val="32"/>
          <w:lang w:eastAsia="zh-CN"/>
        </w:rPr>
        <w:t>恒源封闭债权150期</w:t>
      </w:r>
      <w:r>
        <w:rPr>
          <w:rFonts w:hint="eastAsia" w:ascii="楷体" w:hAnsi="楷体" w:eastAsia="楷体"/>
          <w:b/>
          <w:sz w:val="32"/>
          <w:szCs w:val="32"/>
        </w:rPr>
        <w:t>”理财产品风险揭示书</w:t>
      </w:r>
    </w:p>
    <w:p>
      <w:pPr>
        <w:jc w:val="center"/>
        <w:rPr>
          <w:rFonts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3"/>
        <w:spacing w:before="0" w:beforeAutospacing="0" w:after="0" w:afterAutospacing="0"/>
        <w:rPr>
          <w:rFonts w:ascii="楷体" w:hAnsi="楷体" w:eastAsia="楷体" w:cs="Times New Roman"/>
        </w:rPr>
      </w:pPr>
      <w:r>
        <w:rPr>
          <w:rFonts w:hint="eastAsia" w:ascii="楷体" w:hAnsi="楷体" w:eastAsia="楷体" w:cs="Times New Roman"/>
        </w:rPr>
        <w:t>尊敬的投资者：</w:t>
      </w:r>
    </w:p>
    <w:p>
      <w:pPr>
        <w:pStyle w:val="13"/>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由于理财资金在管理运用过程中可能面临多种风险因素，根据国家金融监督管理总局（以下简称“金融监管总局”）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3"/>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u w:val="single"/>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2"/>
        </w:numPr>
        <w:tabs>
          <w:tab w:val="left" w:pos="1134"/>
        </w:tabs>
        <w:ind w:left="0" w:firstLine="562" w:firstLineChars="200"/>
        <w:rPr>
          <w:rFonts w:ascii="楷体" w:hAnsi="楷体" w:eastAsia="楷体"/>
          <w:b/>
          <w:sz w:val="24"/>
          <w:szCs w:val="24"/>
        </w:rPr>
      </w:pPr>
      <w:r>
        <w:rPr>
          <w:rFonts w:hint="eastAsia" w:ascii="楷体" w:hAnsi="楷体" w:eastAsia="楷体"/>
          <w:b/>
          <w:sz w:val="28"/>
          <w:szCs w:val="28"/>
        </w:rPr>
        <w:t>风险揭示</w:t>
      </w:r>
    </w:p>
    <w:p>
      <w:pPr>
        <w:pStyle w:val="13"/>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本金及理财产品收益风险：</w:t>
      </w:r>
      <w:r>
        <w:rPr>
          <w:rFonts w:hint="eastAsia" w:ascii="楷体" w:hAnsi="楷体" w:eastAsia="楷体"/>
          <w:sz w:val="24"/>
          <w:szCs w:val="24"/>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流动性风险：</w:t>
      </w:r>
      <w:r>
        <w:rPr>
          <w:rFonts w:hint="eastAsia" w:ascii="楷体" w:hAnsi="楷体" w:eastAsia="楷体"/>
          <w:bCs/>
          <w:sz w:val="24"/>
          <w:szCs w:val="24"/>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rPr>
        <w:t>本理财产品为封闭式产品，存续期内投资者不能赎回，这可能影响投资者的资金安排，带来流动性风险。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代销风险（如有）：</w:t>
      </w:r>
      <w:r>
        <w:rPr>
          <w:rFonts w:hint="eastAsia" w:ascii="楷体" w:hAnsi="楷体" w:eastAsia="楷体"/>
          <w:bCs/>
          <w:sz w:val="24"/>
          <w:szCs w:val="24"/>
        </w:rPr>
        <w:t>如</w:t>
      </w:r>
      <w:r>
        <w:rPr>
          <w:rFonts w:hint="eastAsia" w:ascii="楷体" w:hAnsi="楷体" w:eastAsia="楷体"/>
          <w:sz w:val="24"/>
          <w:szCs w:val="24"/>
        </w:rPr>
        <w:t>本产品通过代销渠道（非产品管理人自有渠道）销售，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ascii="楷体" w:hAnsi="楷体" w:eastAsia="楷体"/>
          <w:bCs/>
          <w:sz w:val="24"/>
          <w:szCs w:val="24"/>
        </w:rPr>
      </w:pPr>
      <w:r>
        <w:rPr>
          <w:rFonts w:hint="eastAsia" w:ascii="楷体" w:hAnsi="楷体" w:eastAsia="楷体"/>
          <w:b/>
          <w:sz w:val="24"/>
          <w:szCs w:val="24"/>
        </w:rPr>
        <w:t>理财产品的份额类别差异风险：</w:t>
      </w:r>
      <w:r>
        <w:rPr>
          <w:rFonts w:hint="eastAsia" w:ascii="楷体" w:hAnsi="楷体" w:eastAsia="楷体"/>
          <w:bCs/>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特定投资标的风险：</w:t>
      </w:r>
    </w:p>
    <w:p>
      <w:pPr>
        <w:numPr>
          <w:ilvl w:val="0"/>
          <w:numId w:val="4"/>
        </w:numPr>
        <w:tabs>
          <w:tab w:val="left" w:pos="742"/>
        </w:tabs>
        <w:ind w:left="0" w:firstLine="480" w:firstLineChars="200"/>
        <w:rPr>
          <w:rFonts w:ascii="楷体" w:hAnsi="楷体" w:eastAsia="楷体"/>
          <w:sz w:val="24"/>
          <w:szCs w:val="24"/>
        </w:rPr>
      </w:pPr>
      <w:r>
        <w:rPr>
          <w:rFonts w:hint="eastAsia" w:ascii="楷体" w:hAnsi="楷体" w:eastAsia="楷体"/>
          <w:sz w:val="24"/>
          <w:szCs w:val="24"/>
        </w:rPr>
        <w:t>债券投资的特殊风险</w:t>
      </w:r>
    </w:p>
    <w:p>
      <w:pPr>
        <w:numPr>
          <w:ilvl w:val="0"/>
          <w:numId w:val="5"/>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市场平均利率水平变化导致债券价格变化的风险。</w:t>
      </w:r>
    </w:p>
    <w:p>
      <w:pPr>
        <w:numPr>
          <w:ilvl w:val="0"/>
          <w:numId w:val="5"/>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债券市场不同期限、不同类别债券之间的利差变动导致相应期限和类别债券价格变化的风险。</w:t>
      </w:r>
    </w:p>
    <w:p>
      <w:pPr>
        <w:numPr>
          <w:ilvl w:val="0"/>
          <w:numId w:val="5"/>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rPr>
          <w:rFonts w:ascii="楷体" w:hAnsi="楷体" w:eastAsia="楷体"/>
          <w:b/>
          <w:sz w:val="24"/>
          <w:szCs w:val="24"/>
        </w:rPr>
      </w:pPr>
      <w:r>
        <w:rPr>
          <w:rFonts w:hint="eastAsia" w:ascii="楷体" w:hAnsi="楷体" w:eastAsia="楷体"/>
          <w:b/>
          <w:sz w:val="24"/>
          <w:szCs w:val="24"/>
        </w:rPr>
        <w:t>非标准化债权的特殊风险：</w:t>
      </w:r>
    </w:p>
    <w:p>
      <w:pPr>
        <w:numPr>
          <w:ilvl w:val="0"/>
          <w:numId w:val="6"/>
        </w:numPr>
        <w:tabs>
          <w:tab w:val="left" w:pos="1092"/>
        </w:tabs>
        <w:ind w:left="0" w:firstLine="482" w:firstLineChars="200"/>
        <w:rPr>
          <w:rFonts w:ascii="楷体" w:hAnsi="楷体" w:eastAsia="楷体"/>
          <w:b/>
          <w:sz w:val="24"/>
          <w:szCs w:val="24"/>
        </w:rPr>
      </w:pPr>
      <w:r>
        <w:rPr>
          <w:rFonts w:hint="eastAsia" w:ascii="楷体" w:hAnsi="楷体" w:eastAsia="楷体"/>
          <w:b/>
          <w:sz w:val="24"/>
          <w:szCs w:val="24"/>
        </w:rPr>
        <w:t>融资方还款履约能力可能的变化导致的信用风险。</w:t>
      </w:r>
    </w:p>
    <w:p>
      <w:pPr>
        <w:numPr>
          <w:ilvl w:val="0"/>
          <w:numId w:val="6"/>
        </w:numPr>
        <w:tabs>
          <w:tab w:val="left" w:pos="1092"/>
        </w:tabs>
        <w:ind w:left="0" w:firstLine="482" w:firstLineChars="200"/>
        <w:rPr>
          <w:rFonts w:ascii="楷体" w:hAnsi="楷体" w:eastAsia="楷体"/>
          <w:b/>
          <w:sz w:val="24"/>
          <w:szCs w:val="24"/>
        </w:rPr>
      </w:pPr>
      <w:r>
        <w:rPr>
          <w:rFonts w:hint="eastAsia" w:ascii="楷体" w:hAnsi="楷体" w:eastAsia="楷体"/>
          <w:b/>
          <w:sz w:val="24"/>
          <w:szCs w:val="24"/>
        </w:rPr>
        <w:t>债务人提前还款或逾期还款的风险。</w:t>
      </w:r>
    </w:p>
    <w:p>
      <w:pPr>
        <w:numPr>
          <w:ilvl w:val="0"/>
          <w:numId w:val="6"/>
        </w:numPr>
        <w:tabs>
          <w:tab w:val="left" w:pos="1092"/>
        </w:tabs>
        <w:ind w:left="0" w:firstLine="482" w:firstLineChars="200"/>
        <w:rPr>
          <w:rFonts w:ascii="楷体" w:hAnsi="楷体" w:eastAsia="楷体"/>
          <w:b/>
          <w:sz w:val="24"/>
          <w:szCs w:val="24"/>
        </w:rPr>
      </w:pPr>
      <w:r>
        <w:rPr>
          <w:rFonts w:hint="eastAsia" w:ascii="楷体" w:hAnsi="楷体" w:eastAsia="楷体"/>
          <w:b/>
          <w:sz w:val="24"/>
          <w:szCs w:val="24"/>
        </w:rPr>
        <w:t>保证人未履行保证义务的风险等。</w:t>
      </w:r>
    </w:p>
    <w:p>
      <w:pPr>
        <w:numPr>
          <w:ilvl w:val="0"/>
          <w:numId w:val="4"/>
        </w:numPr>
        <w:tabs>
          <w:tab w:val="left" w:pos="742"/>
        </w:tabs>
        <w:ind w:left="0" w:firstLine="480" w:firstLineChars="200"/>
        <w:rPr>
          <w:rFonts w:ascii="楷体" w:hAnsi="楷体" w:eastAsia="楷体"/>
          <w:sz w:val="24"/>
          <w:szCs w:val="24"/>
        </w:rPr>
      </w:pPr>
      <w:r>
        <w:rPr>
          <w:rFonts w:hint="eastAsia" w:ascii="楷体" w:hAnsi="楷体" w:eastAsia="楷体"/>
          <w:sz w:val="24"/>
          <w:szCs w:val="24"/>
        </w:rPr>
        <w:t>相关资产管理计划或基金份额的特殊风险：</w:t>
      </w:r>
    </w:p>
    <w:p>
      <w:pPr>
        <w:numPr>
          <w:ilvl w:val="0"/>
          <w:numId w:val="7"/>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7"/>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资产管理计划或基金产品可能出现因为某种原因而被提前终止的情况，由此可能会造成对本理财产品投资收益的影响。</w:t>
      </w:r>
    </w:p>
    <w:p>
      <w:pPr>
        <w:numPr>
          <w:ilvl w:val="0"/>
          <w:numId w:val="7"/>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pStyle w:val="13"/>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3"/>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如影响您的风险承受能力的因素发生变化，请及时完成风险承受能力评估。</w:t>
      </w:r>
    </w:p>
    <w:p>
      <w:pPr>
        <w:numPr>
          <w:ilvl w:val="0"/>
          <w:numId w:val="2"/>
        </w:numPr>
        <w:tabs>
          <w:tab w:val="left" w:pos="1134"/>
        </w:tabs>
        <w:ind w:left="0" w:firstLine="562" w:firstLineChars="200"/>
        <w:rPr>
          <w:rFonts w:ascii="楷体" w:hAnsi="楷体" w:eastAsia="楷体"/>
          <w:b/>
          <w:sz w:val="28"/>
          <w:szCs w:val="28"/>
        </w:rPr>
      </w:pPr>
      <w:r>
        <w:rPr>
          <w:rFonts w:hint="eastAsia" w:ascii="楷体" w:hAnsi="楷体" w:eastAsia="楷体"/>
          <w:b/>
          <w:sz w:val="28"/>
          <w:szCs w:val="28"/>
        </w:rPr>
        <w:t>投资者提示</w:t>
      </w:r>
    </w:p>
    <w:p>
      <w:pPr>
        <w:numPr>
          <w:ilvl w:val="0"/>
          <w:numId w:val="8"/>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本理财产品不保证本金及收益，您的本金可能因市场变动或者交易违约等事项而蒙受相应损失，</w:t>
      </w:r>
      <w:r>
        <w:rPr>
          <w:rFonts w:hint="eastAsia" w:ascii="楷体" w:hAnsi="楷体" w:eastAsia="楷体"/>
          <w:b/>
          <w:bCs/>
          <w:sz w:val="24"/>
          <w:szCs w:val="24"/>
          <w:u w:val="single"/>
        </w:rPr>
        <w:t>在最不利的情况下甚至可能损失全部本金。</w:t>
      </w:r>
      <w:r>
        <w:rPr>
          <w:rFonts w:hint="eastAsia" w:ascii="楷体" w:hAnsi="楷体" w:eastAsia="楷体"/>
          <w:b/>
          <w:sz w:val="24"/>
          <w:szCs w:val="24"/>
          <w:u w:val="single"/>
        </w:rPr>
        <w:t>投资者应充分认识投资风险，谨慎投资。</w:t>
      </w:r>
    </w:p>
    <w:p>
      <w:pPr>
        <w:numPr>
          <w:ilvl w:val="0"/>
          <w:numId w:val="8"/>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本理财产品过往业绩不代表其未来表现，不等于理财产品实际收益，投资须谨慎。理财非存款、产品有风险、投资须谨慎。</w:t>
      </w:r>
    </w:p>
    <w:p>
      <w:pPr>
        <w:numPr>
          <w:ilvl w:val="0"/>
          <w:numId w:val="8"/>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管理人系江苏银行股份有限公司（下称"江苏银行"）全资子公司，江苏银行为管理人关联方。如本理财产品销售机构为江苏银行，则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8"/>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本理财产品类型为</w:t>
      </w:r>
      <w:r>
        <w:rPr>
          <w:rFonts w:hint="eastAsia" w:ascii="楷体" w:hAnsi="楷体" w:eastAsia="楷体" w:cs="Calibri"/>
          <w:b/>
          <w:sz w:val="24"/>
          <w:szCs w:val="24"/>
          <w:u w:val="single"/>
        </w:rPr>
        <w:t>固定收益类、公募、封闭式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★★二级，适合</w:t>
      </w:r>
      <w:r>
        <w:rPr>
          <w:rFonts w:hint="eastAsia" w:ascii="楷体" w:hAnsi="楷体" w:eastAsia="楷体" w:cs="Calibri"/>
          <w:b/>
          <w:sz w:val="24"/>
          <w:szCs w:val="24"/>
          <w:u w:val="single"/>
        </w:rPr>
        <w:t>中低风险型</w:t>
      </w:r>
      <w:r>
        <w:rPr>
          <w:rFonts w:hint="eastAsia" w:ascii="楷体" w:hAnsi="楷体" w:eastAsia="楷体"/>
          <w:b/>
          <w:sz w:val="24"/>
          <w:szCs w:val="24"/>
          <w:u w:val="single"/>
        </w:rPr>
        <w:t>投资者</w:t>
      </w:r>
      <w:r>
        <w:rPr>
          <w:rFonts w:hint="eastAsia" w:ascii="楷体" w:hAnsi="楷体" w:eastAsia="楷体"/>
          <w:sz w:val="24"/>
          <w:szCs w:val="24"/>
          <w:u w:val="single"/>
        </w:rPr>
        <w:t>。</w:t>
      </w:r>
      <w:r>
        <w:rPr>
          <w:rFonts w:hint="eastAsia" w:ascii="楷体" w:hAnsi="楷体" w:eastAsia="楷体" w:cs="Calibri"/>
          <w:b/>
          <w:sz w:val="24"/>
          <w:szCs w:val="24"/>
          <w:u w:val="single"/>
        </w:rPr>
        <w:t>如本产品通过代理销售机构渠道销售，理财产品评级以代理销售机构最终披露的评级结果为准。</w:t>
      </w:r>
    </w:p>
    <w:p>
      <w:pPr>
        <w:numPr>
          <w:ilvl w:val="0"/>
          <w:numId w:val="8"/>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numPr>
          <w:ilvl w:val="0"/>
          <w:numId w:val="8"/>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bCs/>
          <w:sz w:val="24"/>
          <w:szCs w:val="24"/>
        </w:rPr>
        <w:t>您还应了解您所购买理财产品的投资风险、类型特点和投资存在的最不利投资情形：在最不利情况下，投资者甚至可能损失全部本金。</w:t>
      </w:r>
    </w:p>
    <w:p>
      <w:pPr>
        <w:numPr>
          <w:ilvl w:val="0"/>
          <w:numId w:val="8"/>
        </w:numPr>
        <w:tabs>
          <w:tab w:val="left" w:pos="742"/>
        </w:tabs>
        <w:ind w:left="0" w:firstLine="480" w:firstLineChars="200"/>
        <w:rPr>
          <w:rFonts w:ascii="楷体" w:hAnsi="楷体" w:eastAsia="楷体"/>
          <w:sz w:val="24"/>
          <w:szCs w:val="24"/>
        </w:rPr>
      </w:pPr>
      <w:r>
        <w:rPr>
          <w:rFonts w:hint="eastAsia" w:ascii="楷体" w:hAnsi="楷体" w:eastAsia="楷体"/>
          <w:sz w:val="24"/>
          <w:szCs w:val="24"/>
        </w:rPr>
        <w:t>苏银理财及销售机构将根据相关法律、法规严格履行投资者信息保密责任，除监管机构或司法机关等有权机构外，不得对其他第三方提供任何投资者信息。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ascii="楷体" w:hAnsi="楷体" w:eastAsia="楷体" w:cs="宋体"/>
          <w:b/>
          <w:kern w:val="0"/>
          <w:sz w:val="24"/>
          <w:szCs w:val="24"/>
        </w:rPr>
      </w:pPr>
    </w:p>
    <w:p>
      <w:pPr>
        <w:pStyle w:val="13"/>
        <w:spacing w:before="0" w:beforeAutospacing="0" w:after="0" w:afterAutospacing="0" w:line="360" w:lineRule="auto"/>
        <w:ind w:left="420"/>
        <w:jc w:val="right"/>
        <w:rPr>
          <w:rFonts w:ascii="楷体" w:hAnsi="楷体" w:eastAsia="楷体"/>
          <w:b/>
        </w:rPr>
        <w:sectPr>
          <w:headerReference r:id="rId6" w:type="first"/>
          <w:headerReference r:id="rId4" w:type="default"/>
          <w:footerReference r:id="rId7" w:type="default"/>
          <w:headerReference r:id="rId5" w:type="even"/>
          <w:pgSz w:w="11906" w:h="16838"/>
          <w:pgMar w:top="1440" w:right="1800" w:bottom="1440" w:left="1800" w:header="851" w:footer="992" w:gutter="0"/>
          <w:cols w:space="425" w:num="1"/>
          <w:docGrid w:type="lines" w:linePitch="312" w:charSpace="0"/>
        </w:sectPr>
      </w:pPr>
      <w:r>
        <w:rPr>
          <w:rFonts w:hint="eastAsia" w:ascii="楷体" w:hAnsi="楷体" w:eastAsia="楷体"/>
          <w:b/>
        </w:rPr>
        <w:t>风险揭示方：苏银理财有限责任公司</w:t>
      </w:r>
    </w:p>
    <w:p>
      <w:pPr>
        <w:pStyle w:val="13"/>
        <w:spacing w:before="0" w:beforeAutospacing="0" w:after="0" w:afterAutospacing="0" w:line="360" w:lineRule="auto"/>
        <w:ind w:left="420"/>
        <w:jc w:val="right"/>
        <w:rPr>
          <w:rFonts w:ascii="楷体" w:hAnsi="楷体" w:eastAsia="楷体"/>
          <w:b/>
        </w:rPr>
      </w:pPr>
    </w:p>
    <w:p>
      <w:pPr>
        <w:pStyle w:val="13"/>
        <w:spacing w:before="0" w:beforeAutospacing="0" w:after="0" w:afterAutospacing="0" w:line="360" w:lineRule="auto"/>
        <w:jc w:val="center"/>
        <w:rPr>
          <w:rFonts w:ascii="楷体" w:hAnsi="楷体" w:eastAsia="楷体"/>
          <w:b/>
          <w:sz w:val="36"/>
          <w:szCs w:val="36"/>
        </w:rPr>
      </w:pPr>
      <w:r>
        <w:rPr>
          <w:rFonts w:hint="eastAsia" w:ascii="楷体" w:hAnsi="楷体" w:eastAsia="楷体"/>
          <w:b/>
          <w:sz w:val="36"/>
          <w:szCs w:val="36"/>
        </w:rPr>
        <w:t>投资者风险确认函</w:t>
      </w:r>
    </w:p>
    <w:p>
      <w:pPr>
        <w:numPr>
          <w:ilvl w:val="0"/>
          <w:numId w:val="9"/>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sz w:val="24"/>
          <w:szCs w:val="24"/>
          <w:u w:val="single"/>
        </w:rPr>
        <w:t>本人承诺理财购买资金来源合法合规，本人将配合管理人及销售机构开展反洗钱、反恐怖融资及非居民金融账户涉税信息尽职调查等工作。</w:t>
      </w:r>
    </w:p>
    <w:p>
      <w:pPr>
        <w:ind w:firstLine="480" w:firstLineChars="200"/>
        <w:rPr>
          <w:rFonts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ascii="楷体" w:hAnsi="楷体" w:eastAsia="楷体"/>
          <w:b/>
          <w:sz w:val="24"/>
          <w:szCs w:val="24"/>
        </w:rPr>
      </w:pPr>
    </w:p>
    <w:p>
      <w:pPr>
        <w:ind w:firstLine="480" w:firstLineChars="200"/>
        <w:rPr>
          <w:rFonts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风险承受能力不低于本理财产品的风险评级，适合购买本理财产品。如风险承受能力评估已超过一年，</w:t>
      </w:r>
      <w:r>
        <w:rPr>
          <w:rFonts w:ascii="楷体" w:hAnsi="楷体" w:eastAsia="楷体"/>
          <w:sz w:val="24"/>
          <w:szCs w:val="24"/>
        </w:rPr>
        <w:t>或</w:t>
      </w:r>
      <w:r>
        <w:rPr>
          <w:rFonts w:hint="eastAsia" w:ascii="楷体" w:hAnsi="楷体" w:eastAsia="楷体"/>
          <w:sz w:val="24"/>
          <w:szCs w:val="24"/>
        </w:rPr>
        <w:t>影响风险承受能力的因素发生变化，本人将及时完成风险承受能力的重新评估。</w:t>
      </w:r>
    </w:p>
    <w:p>
      <w:pPr>
        <w:ind w:firstLine="480" w:firstLineChars="200"/>
        <w:rPr>
          <w:rFonts w:ascii="楷体" w:hAnsi="楷体" w:eastAsia="楷体"/>
          <w:b/>
          <w:sz w:val="24"/>
          <w:szCs w:val="24"/>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r>
        <w:rPr>
          <w:rFonts w:hint="eastAsia" w:ascii="楷体" w:hAnsi="楷体" w:eastAsia="楷体"/>
          <w:sz w:val="24"/>
          <w:szCs w:val="24"/>
        </w:rPr>
        <w:t>。</w:t>
      </w:r>
    </w:p>
    <w:p>
      <w:pPr>
        <w:rPr>
          <w:rFonts w:ascii="楷体" w:hAnsi="楷体" w:eastAsia="楷体"/>
          <w:sz w:val="24"/>
          <w:szCs w:val="24"/>
          <w:u w:val="single"/>
        </w:rPr>
      </w:pPr>
    </w:p>
    <w:p>
      <w:pPr>
        <w:rPr>
          <w:rFonts w:ascii="楷体" w:hAnsi="楷体" w:eastAsia="楷体"/>
          <w:sz w:val="24"/>
          <w:szCs w:val="24"/>
          <w:u w:val="single"/>
        </w:rPr>
      </w:pPr>
      <w:r>
        <w:rPr>
          <w:rFonts w:hint="eastAsia" w:ascii="楷体" w:hAnsi="楷体" w:eastAsia="楷体"/>
          <w:sz w:val="24"/>
          <w:szCs w:val="24"/>
          <w:u w:val="single"/>
        </w:rPr>
        <w:t xml:space="preserve">                                                                         </w:t>
      </w:r>
    </w:p>
    <w:p>
      <w:pPr>
        <w:rPr>
          <w:rFonts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ascii="楷体" w:hAnsi="楷体" w:eastAsia="楷体"/>
          <w:sz w:val="24"/>
          <w:szCs w:val="24"/>
        </w:rPr>
      </w:pPr>
      <w:r>
        <w:rPr>
          <w:rFonts w:hint="eastAsia" w:ascii="楷体" w:hAnsi="楷体" w:eastAsia="楷体"/>
          <w:sz w:val="24"/>
          <w:szCs w:val="24"/>
        </w:rPr>
        <w:t>年   月   日</w:t>
      </w:r>
    </w:p>
    <w:p>
      <w:pPr>
        <w:numPr>
          <w:ilvl w:val="0"/>
          <w:numId w:val="9"/>
        </w:numPr>
        <w:tabs>
          <w:tab w:val="left" w:pos="1134"/>
        </w:tabs>
        <w:ind w:firstLine="562" w:firstLineChars="200"/>
        <w:rPr>
          <w:rFonts w:ascii="楷体" w:hAnsi="楷体" w:eastAsia="楷体"/>
          <w:b/>
          <w:sz w:val="28"/>
          <w:szCs w:val="28"/>
        </w:rPr>
      </w:pPr>
      <w:r>
        <w:rPr>
          <w:rFonts w:hint="eastAsia" w:ascii="楷体" w:hAnsi="楷体" w:eastAsia="楷体"/>
          <w:b/>
          <w:sz w:val="28"/>
          <w:szCs w:val="28"/>
        </w:rPr>
        <w:t>机构投资者确认</w:t>
      </w:r>
    </w:p>
    <w:p>
      <w:pPr>
        <w:ind w:firstLine="480" w:firstLineChars="200"/>
        <w:rPr>
          <w:rFonts w:ascii="楷体" w:hAnsi="楷体" w:eastAsia="楷体"/>
          <w:sz w:val="24"/>
          <w:szCs w:val="24"/>
        </w:rPr>
      </w:pPr>
      <w:r>
        <w:rPr>
          <w:rFonts w:ascii="楷体" w:hAnsi="楷体" w:eastAsia="楷体"/>
          <w:sz w:val="24"/>
          <w:szCs w:val="24"/>
        </w:rPr>
        <w:t>投资者声明：投资决策系由本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w:t>
      </w:r>
      <w:r>
        <w:rPr>
          <w:rFonts w:hint="eastAsia" w:ascii="楷体" w:hAnsi="楷体" w:eastAsia="楷体"/>
          <w:b/>
          <w:sz w:val="24"/>
          <w:szCs w:val="24"/>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机构投资者（盖章）：</w:t>
      </w: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机构投资者法定代表人或授权代表（签字或盖章）</w:t>
      </w:r>
    </w:p>
    <w:p>
      <w:pPr>
        <w:rPr>
          <w:rFonts w:ascii="楷体" w:hAnsi="楷体" w:eastAsia="楷体"/>
        </w:rPr>
      </w:pPr>
    </w:p>
    <w:p>
      <w:pPr>
        <w:ind w:firstLine="360" w:firstLineChars="150"/>
        <w:jc w:val="right"/>
        <w:rPr>
          <w:rFonts w:ascii="楷体" w:hAnsi="楷体" w:eastAsia="楷体"/>
          <w:sz w:val="24"/>
          <w:szCs w:val="24"/>
        </w:rPr>
      </w:pPr>
      <w:r>
        <w:rPr>
          <w:rFonts w:hint="eastAsia" w:ascii="楷体" w:hAnsi="楷体" w:eastAsia="楷体"/>
          <w:sz w:val="24"/>
          <w:szCs w:val="24"/>
        </w:rPr>
        <w:t>年   月   日</w:t>
      </w:r>
    </w:p>
    <w:bookmarkEnd w:id="0"/>
    <w:p>
      <w:pPr>
        <w:pStyle w:val="13"/>
        <w:spacing w:before="0" w:beforeAutospacing="0" w:after="0" w:afterAutospacing="0" w:line="360" w:lineRule="auto"/>
        <w:rPr>
          <w:rFonts w:ascii="楷体" w:hAnsi="楷体" w:eastAsia="楷体" w:cs="浠垮畫"/>
          <w:b/>
          <w:u w:val="single"/>
        </w:rPr>
      </w:pPr>
    </w:p>
    <w:p>
      <w:pPr>
        <w:pStyle w:val="13"/>
        <w:spacing w:before="0" w:beforeAutospacing="0" w:after="0" w:afterAutospacing="0" w:line="360" w:lineRule="auto"/>
        <w:jc w:val="center"/>
        <w:rPr>
          <w:rFonts w:ascii="楷体" w:hAnsi="楷体" w:eastAsia="楷体"/>
        </w:rPr>
      </w:pPr>
      <w:r>
        <w:rPr>
          <w:rFonts w:hint="eastAsia" w:ascii="楷体" w:hAnsi="楷体" w:eastAsia="楷体"/>
          <w:b/>
          <w:sz w:val="36"/>
          <w:szCs w:val="36"/>
        </w:rPr>
        <w:t xml:space="preserve"> </w:t>
      </w:r>
    </w:p>
    <w:p>
      <w:pPr>
        <w:rPr>
          <w:rFonts w:ascii="楷体" w:hAnsi="楷体" w:eastAsia="楷体"/>
          <w:b/>
          <w:sz w:val="36"/>
          <w:szCs w:val="36"/>
        </w:rPr>
      </w:pPr>
      <w:r>
        <w:rPr>
          <w:rFonts w:hint="eastAsia" w:ascii="楷体" w:hAnsi="楷体" w:eastAsia="楷体"/>
          <w:b/>
          <w:sz w:val="36"/>
          <w:szCs w:val="36"/>
        </w:rPr>
        <w:br w:type="page"/>
      </w:r>
    </w:p>
    <w:p>
      <w:pPr>
        <w:pStyle w:val="13"/>
        <w:spacing w:before="0" w:beforeAutospacing="0" w:after="0" w:afterAutospacing="0" w:line="360" w:lineRule="auto"/>
        <w:jc w:val="center"/>
        <w:rPr>
          <w:rFonts w:ascii="楷体" w:hAnsi="楷体" w:eastAsia="楷体"/>
          <w:b/>
          <w:sz w:val="36"/>
          <w:szCs w:val="36"/>
        </w:rPr>
      </w:pPr>
      <w:bookmarkStart w:id="1" w:name="_Hlk167980810"/>
      <w:bookmarkStart w:id="2" w:name="_Hlk168577216"/>
      <w:r>
        <w:rPr>
          <w:rFonts w:hint="eastAsia" w:ascii="楷体" w:hAnsi="楷体" w:eastAsia="楷体"/>
          <w:b/>
          <w:sz w:val="36"/>
          <w:szCs w:val="36"/>
        </w:rPr>
        <w:t>“苏银理财</w:t>
      </w:r>
      <w:r>
        <w:rPr>
          <w:rFonts w:hint="eastAsia" w:ascii="楷体" w:hAnsi="楷体" w:eastAsia="楷体"/>
          <w:b/>
          <w:sz w:val="36"/>
          <w:szCs w:val="36"/>
          <w:lang w:eastAsia="zh-CN"/>
        </w:rPr>
        <w:t>恒源封闭债权150期</w:t>
      </w:r>
      <w:r>
        <w:rPr>
          <w:rFonts w:hint="eastAsia" w:ascii="楷体" w:hAnsi="楷体" w:eastAsia="楷体"/>
          <w:b/>
          <w:sz w:val="36"/>
          <w:szCs w:val="36"/>
        </w:rPr>
        <w:t>”理财产品说明书</w:t>
      </w:r>
    </w:p>
    <w:p>
      <w:pPr>
        <w:jc w:val="center"/>
        <w:rPr>
          <w:rFonts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ascii="楷体" w:hAnsi="楷体" w:eastAsia="楷体"/>
          <w:b/>
          <w:sz w:val="28"/>
          <w:szCs w:val="28"/>
        </w:rPr>
      </w:pPr>
      <w:r>
        <w:rPr>
          <w:rFonts w:hint="eastAsia" w:ascii="楷体" w:hAnsi="楷体" w:eastAsia="楷体"/>
          <w:b/>
          <w:sz w:val="28"/>
          <w:szCs w:val="28"/>
        </w:rPr>
        <w:t>重要须知</w:t>
      </w:r>
    </w:p>
    <w:p>
      <w:pPr>
        <w:numPr>
          <w:ilvl w:val="0"/>
          <w:numId w:val="10"/>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10"/>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或者交易违约等事项而蒙受相应损失，投资者应充分认识投资风险，谨慎投资；本理财产品过往业绩不代表其未来表现，不等于理财产品实际收益，投资须谨慎；理财非存款、产品有风险、投资须谨慎。</w:t>
      </w:r>
    </w:p>
    <w:p>
      <w:pPr>
        <w:numPr>
          <w:ilvl w:val="0"/>
          <w:numId w:val="10"/>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等类似表述均属不具有法律约束力的用语，业绩比较基准为管理人对本产品所设定的投资目标，不代表投资者可能获得的实际收益，亦不构成苏银理财有限责任公司（以下简称“苏银理财”）对本理财产品的任何收益承诺。</w:t>
      </w:r>
    </w:p>
    <w:p>
      <w:pPr>
        <w:numPr>
          <w:ilvl w:val="0"/>
          <w:numId w:val="10"/>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10"/>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如有）、其他风险等。请仔细阅读《“苏银理财</w:t>
      </w:r>
      <w:r>
        <w:rPr>
          <w:rFonts w:hint="eastAsia" w:ascii="楷体" w:hAnsi="楷体" w:eastAsia="楷体"/>
          <w:sz w:val="24"/>
          <w:szCs w:val="24"/>
          <w:lang w:eastAsia="zh-CN"/>
        </w:rPr>
        <w:t>恒源封闭债权150期</w:t>
      </w:r>
      <w:r>
        <w:rPr>
          <w:rFonts w:hint="eastAsia" w:ascii="楷体" w:hAnsi="楷体" w:eastAsia="楷体"/>
          <w:sz w:val="24"/>
          <w:szCs w:val="24"/>
        </w:rPr>
        <w:t>”理财产品风险揭示书》的“风险揭示”部分。</w:t>
      </w:r>
    </w:p>
    <w:p>
      <w:pPr>
        <w:numPr>
          <w:ilvl w:val="0"/>
          <w:numId w:val="10"/>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10"/>
        </w:numPr>
        <w:rPr>
          <w:rFonts w:ascii="楷体" w:hAnsi="楷体" w:eastAsia="楷体"/>
          <w:b/>
          <w:bCs/>
          <w:sz w:val="24"/>
          <w:szCs w:val="24"/>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rPr>
        <w:t>产品管理人将于</w:t>
      </w:r>
      <w:r>
        <w:rPr>
          <w:rFonts w:hint="eastAsia" w:ascii="楷体" w:hAnsi="楷体" w:eastAsia="楷体"/>
          <w:b/>
          <w:bCs/>
          <w:sz w:val="24"/>
          <w:szCs w:val="24"/>
          <w:u w:val="single"/>
          <w:lang w:val="en-US" w:eastAsia="zh-CN"/>
        </w:rPr>
        <w:t>调整事项</w:t>
      </w:r>
      <w:r>
        <w:rPr>
          <w:rFonts w:hint="eastAsia" w:ascii="楷体" w:hAnsi="楷体" w:eastAsia="楷体"/>
          <w:b/>
          <w:bCs/>
          <w:sz w:val="24"/>
          <w:szCs w:val="24"/>
          <w:u w:val="single"/>
        </w:rPr>
        <w:t>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0"/>
        </w:numPr>
        <w:rPr>
          <w:rFonts w:ascii="楷体" w:hAnsi="楷体" w:eastAsia="楷体"/>
          <w:sz w:val="24"/>
          <w:szCs w:val="24"/>
        </w:rPr>
      </w:pPr>
      <w:r>
        <w:rPr>
          <w:rFonts w:hint="eastAsia" w:ascii="楷体" w:hAnsi="楷体" w:eastAsia="楷体"/>
          <w:sz w:val="24"/>
          <w:szCs w:val="24"/>
        </w:rPr>
        <w:t>为贯彻落实金融监管总局和银行业理财登记托管中心的要求，苏银理财将向监管机构报送理财产品投资者身份信息、每日交易、持仓等信息。后续金融监管总局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10"/>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10"/>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10"/>
        </w:numPr>
        <w:rPr>
          <w:rFonts w:ascii="楷体" w:hAnsi="楷体" w:eastAsia="楷体"/>
        </w:rPr>
      </w:pPr>
      <w:r>
        <w:rPr>
          <w:rFonts w:hint="eastAsia" w:ascii="楷体" w:hAnsi="楷体" w:eastAsia="楷体"/>
          <w:sz w:val="24"/>
          <w:szCs w:val="24"/>
        </w:rPr>
        <w:t>本理财产品说明书在法律许可的范围内由苏银理财负责解释。</w:t>
      </w:r>
    </w:p>
    <w:p>
      <w:pPr>
        <w:numPr>
          <w:ilvl w:val="0"/>
          <w:numId w:val="11"/>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5"/>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7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1"/>
              <w:ind w:left="55"/>
              <w:jc w:val="both"/>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614" w:type="dxa"/>
            <w:vAlign w:val="center"/>
          </w:tcPr>
          <w:p>
            <w:pPr>
              <w:pStyle w:val="34"/>
              <w:kinsoku w:val="0"/>
              <w:overflowPunct w:val="0"/>
              <w:spacing w:before="13"/>
              <w:ind w:left="59" w:right="73" w:rightChars="3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eastAsia="zh-CN"/>
              </w:rPr>
              <w:t>恒源封闭债权150期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ind w:left="57"/>
              <w:jc w:val="both"/>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614" w:type="dxa"/>
            <w:vAlign w:val="center"/>
          </w:tcPr>
          <w:p>
            <w:pPr>
              <w:pStyle w:val="34"/>
              <w:kinsoku w:val="0"/>
              <w:overflowPunct w:val="0"/>
              <w:spacing w:line="260" w:lineRule="exact"/>
              <w:ind w:left="59" w:right="73" w:rightChars="3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Z7003124000175</w:t>
            </w:r>
          </w:p>
          <w:p>
            <w:pPr>
              <w:pStyle w:val="34"/>
              <w:kinsoku w:val="0"/>
              <w:overflowPunct w:val="0"/>
              <w:spacing w:line="260" w:lineRule="exact"/>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fldChar w:fldCharType="begin"/>
            </w:r>
            <w:r>
              <w:instrText xml:space="preserve"> HYPERLINK "http://www.chinawealth.com.cn/" </w:instrText>
            </w:r>
            <w: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3"/>
              <w:ind w:left="55"/>
              <w:jc w:val="both"/>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614" w:type="dxa"/>
            <w:vAlign w:val="center"/>
          </w:tcPr>
          <w:p>
            <w:pPr>
              <w:pStyle w:val="34"/>
              <w:kinsoku w:val="0"/>
              <w:overflowPunct w:val="0"/>
              <w:spacing w:before="12"/>
              <w:ind w:left="59" w:right="73" w:rightChars="3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A份额：苏银理财</w:t>
            </w:r>
            <w:r>
              <w:rPr>
                <w:rFonts w:hint="eastAsia" w:ascii="楷体" w:hAnsi="楷体" w:eastAsia="楷体" w:cs="宋体"/>
                <w:spacing w:val="-2"/>
                <w:sz w:val="21"/>
                <w:szCs w:val="21"/>
                <w:lang w:eastAsia="zh-CN"/>
              </w:rPr>
              <w:t>恒源封闭债权150期（</w:t>
            </w:r>
            <w:r>
              <w:rPr>
                <w:rFonts w:hint="eastAsia" w:ascii="楷体" w:hAnsi="楷体" w:eastAsia="楷体" w:cs="宋体"/>
                <w:spacing w:val="-2"/>
                <w:sz w:val="21"/>
                <w:szCs w:val="21"/>
              </w:rPr>
              <w:t>1</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A/J03</w:t>
            </w:r>
            <w:r>
              <w:rPr>
                <w:rFonts w:hint="eastAsia" w:ascii="楷体" w:hAnsi="楷体" w:eastAsia="楷体" w:cs="宋体"/>
                <w:spacing w:val="-2"/>
                <w:sz w:val="21"/>
                <w:szCs w:val="21"/>
                <w:lang w:val="en-US" w:eastAsia="zh-CN"/>
              </w:rPr>
              <w:t>717</w:t>
            </w:r>
          </w:p>
          <w:p>
            <w:pPr>
              <w:pStyle w:val="34"/>
              <w:kinsoku w:val="0"/>
              <w:overflowPunct w:val="0"/>
              <w:spacing w:before="12"/>
              <w:ind w:left="59" w:right="73" w:rightChars="3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B份额：苏银理财</w:t>
            </w:r>
            <w:r>
              <w:rPr>
                <w:rFonts w:hint="eastAsia" w:ascii="楷体" w:hAnsi="楷体" w:eastAsia="楷体" w:cs="宋体"/>
                <w:spacing w:val="-2"/>
                <w:sz w:val="21"/>
                <w:szCs w:val="21"/>
                <w:lang w:eastAsia="zh-CN"/>
              </w:rPr>
              <w:t>恒源封闭债权150期（</w:t>
            </w:r>
            <w:r>
              <w:rPr>
                <w:rFonts w:hint="eastAsia" w:ascii="楷体" w:hAnsi="楷体" w:eastAsia="楷体" w:cs="宋体"/>
                <w:spacing w:val="-2"/>
                <w:sz w:val="21"/>
                <w:szCs w:val="21"/>
              </w:rPr>
              <w:t>1</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B/J03</w:t>
            </w:r>
            <w:r>
              <w:rPr>
                <w:rFonts w:hint="eastAsia" w:ascii="楷体" w:hAnsi="楷体" w:eastAsia="楷体" w:cs="宋体"/>
                <w:spacing w:val="-2"/>
                <w:sz w:val="21"/>
                <w:szCs w:val="21"/>
                <w:lang w:val="en-US" w:eastAsia="zh-CN"/>
              </w:rPr>
              <w:t>718</w:t>
            </w:r>
          </w:p>
          <w:p>
            <w:pPr>
              <w:pStyle w:val="34"/>
              <w:kinsoku w:val="0"/>
              <w:overflowPunct w:val="0"/>
              <w:spacing w:before="12"/>
              <w:ind w:left="59" w:right="73" w:rightChars="3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C份额：苏银理财</w:t>
            </w:r>
            <w:r>
              <w:rPr>
                <w:rFonts w:hint="eastAsia" w:ascii="楷体" w:hAnsi="楷体" w:eastAsia="楷体" w:cs="宋体"/>
                <w:spacing w:val="-2"/>
                <w:sz w:val="21"/>
                <w:szCs w:val="21"/>
                <w:lang w:eastAsia="zh-CN"/>
              </w:rPr>
              <w:t>恒源封闭债权150期（</w:t>
            </w:r>
            <w:r>
              <w:rPr>
                <w:rFonts w:hint="eastAsia" w:ascii="楷体" w:hAnsi="楷体" w:eastAsia="楷体" w:cs="宋体"/>
                <w:spacing w:val="-2"/>
                <w:sz w:val="21"/>
                <w:szCs w:val="21"/>
              </w:rPr>
              <w:t>1</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C/J03</w:t>
            </w:r>
            <w:r>
              <w:rPr>
                <w:rFonts w:hint="eastAsia" w:ascii="楷体" w:hAnsi="楷体" w:eastAsia="楷体" w:cs="宋体"/>
                <w:spacing w:val="-2"/>
                <w:sz w:val="21"/>
                <w:szCs w:val="21"/>
                <w:lang w:val="en-US" w:eastAsia="zh-CN"/>
              </w:rPr>
              <w:t>719</w:t>
            </w:r>
          </w:p>
          <w:p>
            <w:pPr>
              <w:pStyle w:val="34"/>
              <w:kinsoku w:val="0"/>
              <w:overflowPunct w:val="0"/>
              <w:spacing w:before="12"/>
              <w:ind w:left="59" w:right="73" w:rightChars="3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D份额：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eastAsia="zh-CN"/>
              </w:rPr>
              <w:t>恒源封闭债权150期（</w:t>
            </w:r>
            <w:r>
              <w:rPr>
                <w:rFonts w:hint="eastAsia" w:ascii="楷体" w:hAnsi="楷体" w:eastAsia="楷体" w:cs="宋体"/>
                <w:spacing w:val="-2"/>
                <w:sz w:val="21"/>
                <w:szCs w:val="21"/>
              </w:rPr>
              <w:t>1</w:t>
            </w:r>
            <w:r>
              <w:rPr>
                <w:rFonts w:hint="eastAsia" w:ascii="楷体" w:hAnsi="楷体" w:eastAsia="楷体" w:cs="宋体"/>
                <w:spacing w:val="-2"/>
                <w:sz w:val="21"/>
                <w:szCs w:val="21"/>
                <w:lang w:val="en-US" w:eastAsia="zh-CN"/>
              </w:rPr>
              <w:t>3</w:t>
            </w:r>
            <w:r>
              <w:rPr>
                <w:rFonts w:hint="eastAsia" w:ascii="楷体" w:hAnsi="楷体" w:eastAsia="楷体" w:cs="宋体"/>
                <w:spacing w:val="-2"/>
                <w:sz w:val="21"/>
                <w:szCs w:val="21"/>
              </w:rPr>
              <w:t>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D</w:t>
            </w:r>
            <w:r>
              <w:rPr>
                <w:rFonts w:hint="eastAsia" w:ascii="楷体" w:hAnsi="楷体" w:eastAsia="楷体" w:cs="宋体"/>
                <w:spacing w:val="-2"/>
                <w:sz w:val="21"/>
                <w:szCs w:val="21"/>
              </w:rPr>
              <w:t>/J03</w:t>
            </w:r>
            <w:r>
              <w:rPr>
                <w:rFonts w:hint="eastAsia" w:ascii="楷体" w:hAnsi="楷体" w:eastAsia="楷体" w:cs="宋体"/>
                <w:spacing w:val="-2"/>
                <w:sz w:val="21"/>
                <w:szCs w:val="21"/>
                <w:lang w:val="en-US" w:eastAsia="zh-CN"/>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4"/>
              <w:ind w:left="55"/>
              <w:jc w:val="both"/>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614" w:type="dxa"/>
            <w:vAlign w:val="center"/>
          </w:tcPr>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3"/>
              <w:ind w:left="55"/>
              <w:jc w:val="both"/>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614" w:type="dxa"/>
            <w:vAlign w:val="center"/>
          </w:tcPr>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江苏银行股份有限公司，详见下文“十三、产品托管人”。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3"/>
              <w:ind w:left="55"/>
              <w:jc w:val="both"/>
              <w:rPr>
                <w:rFonts w:ascii="楷体" w:hAnsi="楷体" w:eastAsia="楷体" w:cs="宋体"/>
                <w:b/>
                <w:spacing w:val="-2"/>
                <w:sz w:val="21"/>
                <w:szCs w:val="21"/>
              </w:rPr>
            </w:pPr>
            <w:r>
              <w:rPr>
                <w:rFonts w:hint="eastAsia" w:ascii="楷体" w:hAnsi="楷体" w:eastAsia="楷体" w:cs="宋体"/>
                <w:b/>
                <w:spacing w:val="-2"/>
                <w:sz w:val="21"/>
                <w:szCs w:val="21"/>
              </w:rPr>
              <w:t>销售机构</w:t>
            </w:r>
          </w:p>
        </w:tc>
        <w:tc>
          <w:tcPr>
            <w:tcW w:w="6614" w:type="dxa"/>
            <w:vAlign w:val="center"/>
          </w:tcPr>
          <w:p>
            <w:pPr>
              <w:pStyle w:val="34"/>
              <w:kinsoku w:val="0"/>
              <w:overflowPunct w:val="0"/>
              <w:spacing w:before="13"/>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3"/>
              <w:ind w:left="55"/>
              <w:jc w:val="both"/>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614" w:type="dxa"/>
            <w:vAlign w:val="center"/>
          </w:tcPr>
          <w:p>
            <w:pPr>
              <w:pStyle w:val="34"/>
              <w:kinsoku w:val="0"/>
              <w:overflowPunct w:val="0"/>
              <w:spacing w:before="13"/>
              <w:ind w:left="59" w:right="73" w:rightChars="35"/>
              <w:jc w:val="both"/>
              <w:rPr>
                <w:rFonts w:ascii="楷体" w:hAnsi="楷体" w:eastAsia="楷体" w:cs="宋体"/>
                <w:b/>
                <w:spacing w:val="-2"/>
                <w:sz w:val="21"/>
                <w:szCs w:val="21"/>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本评级为苏银理财有限责任公司内部评级，由苏银理财根据理财产品的投资组合、同类产品过往业绩和风险状况等因素，对理财产品进行评级，仅供客户参考。</w:t>
            </w:r>
          </w:p>
          <w:p>
            <w:pPr>
              <w:pStyle w:val="34"/>
              <w:kinsoku w:val="0"/>
              <w:overflowPunct w:val="0"/>
              <w:spacing w:before="13"/>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2、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4"/>
              <w:kinsoku w:val="0"/>
              <w:overflowPunct w:val="0"/>
              <w:spacing w:before="13"/>
              <w:ind w:left="59" w:right="73" w:rightChars="35"/>
              <w:jc w:val="both"/>
              <w:rPr>
                <w:rFonts w:ascii="楷体" w:hAnsi="楷体" w:eastAsia="楷体" w:cs="宋体"/>
                <w:spacing w:val="-2"/>
                <w:sz w:val="21"/>
                <w:szCs w:val="21"/>
              </w:rPr>
            </w:pPr>
            <w:r>
              <w:rPr>
                <w:rFonts w:hint="eastAsia" w:ascii="楷体" w:hAnsi="楷体" w:eastAsia="楷体" w:cs="宋体"/>
                <w:b/>
                <w:spacing w:val="-2"/>
                <w:sz w:val="21"/>
                <w:szCs w:val="21"/>
                <w:u w:val="single"/>
              </w:rPr>
              <w:t>3、如本产品</w:t>
            </w:r>
            <w:r>
              <w:rPr>
                <w:rFonts w:ascii="楷体" w:hAnsi="楷体" w:eastAsia="楷体" w:cs="宋体"/>
                <w:b/>
                <w:spacing w:val="-2"/>
                <w:sz w:val="21"/>
                <w:szCs w:val="21"/>
                <w:u w:val="single"/>
              </w:rPr>
              <w:t>通过代理销售机构渠道销售，理财产品评级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2"/>
              <w:ind w:left="55"/>
              <w:jc w:val="both"/>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614" w:type="dxa"/>
            <w:vAlign w:val="center"/>
          </w:tcPr>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3"/>
              <w:ind w:left="55"/>
              <w:jc w:val="both"/>
              <w:rPr>
                <w:rFonts w:ascii="楷体" w:hAnsi="楷体" w:eastAsia="楷体" w:cs="宋体"/>
                <w:b/>
                <w:spacing w:val="-2"/>
                <w:sz w:val="21"/>
                <w:szCs w:val="21"/>
              </w:rPr>
            </w:pPr>
            <w:r>
              <w:rPr>
                <w:rFonts w:hint="eastAsia" w:ascii="楷体" w:hAnsi="楷体" w:eastAsia="楷体" w:cs="宋体"/>
                <w:b/>
                <w:spacing w:val="-2"/>
                <w:sz w:val="21"/>
                <w:szCs w:val="21"/>
              </w:rPr>
              <w:t>产品类型</w:t>
            </w:r>
          </w:p>
        </w:tc>
        <w:tc>
          <w:tcPr>
            <w:tcW w:w="6614" w:type="dxa"/>
            <w:vAlign w:val="center"/>
          </w:tcPr>
          <w:p>
            <w:pPr>
              <w:pStyle w:val="34"/>
              <w:kinsoku w:val="0"/>
              <w:overflowPunct w:val="0"/>
              <w:spacing w:before="12"/>
              <w:ind w:left="59" w:right="73" w:rightChars="35"/>
              <w:jc w:val="both"/>
              <w:rPr>
                <w:rFonts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3"/>
              <w:ind w:left="55"/>
              <w:jc w:val="both"/>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614" w:type="dxa"/>
            <w:vAlign w:val="center"/>
          </w:tcPr>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4"/>
              <w:ind w:left="55"/>
              <w:jc w:val="both"/>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614" w:type="dxa"/>
            <w:vAlign w:val="center"/>
          </w:tcPr>
          <w:p>
            <w:pPr>
              <w:pStyle w:val="34"/>
              <w:kinsoku w:val="0"/>
              <w:overflowPunct w:val="0"/>
              <w:spacing w:before="14"/>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3"/>
              <w:ind w:left="55"/>
              <w:jc w:val="both"/>
              <w:rPr>
                <w:rFonts w:ascii="楷体" w:hAnsi="楷体" w:eastAsia="楷体" w:cs="宋体"/>
                <w:spacing w:val="-2"/>
                <w:sz w:val="21"/>
                <w:szCs w:val="21"/>
              </w:rPr>
            </w:pPr>
            <w:r>
              <w:rPr>
                <w:rFonts w:hint="eastAsia" w:ascii="楷体" w:hAnsi="楷体" w:eastAsia="楷体" w:cs="宋体"/>
                <w:b/>
                <w:spacing w:val="-2"/>
                <w:sz w:val="21"/>
                <w:szCs w:val="21"/>
              </w:rPr>
              <w:t>计划发行规模</w:t>
            </w:r>
          </w:p>
        </w:tc>
        <w:tc>
          <w:tcPr>
            <w:tcW w:w="6614" w:type="dxa"/>
            <w:vAlign w:val="center"/>
          </w:tcPr>
          <w:p>
            <w:pPr>
              <w:ind w:left="59" w:right="73" w:rightChars="35"/>
              <w:rPr>
                <w:rFonts w:ascii="楷体" w:hAnsi="楷体" w:eastAsia="楷体"/>
                <w:szCs w:val="21"/>
              </w:rPr>
            </w:pPr>
            <w:r>
              <w:rPr>
                <w:rFonts w:hint="eastAsia" w:ascii="楷体" w:hAnsi="楷体" w:eastAsia="楷体"/>
                <w:szCs w:val="21"/>
              </w:rPr>
              <w:t>计划发行总规模：6亿份。</w:t>
            </w:r>
          </w:p>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募集过程中管理人有权根据产品的募集情况调整计划发行规模。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2"/>
              <w:ind w:left="55"/>
              <w:jc w:val="both"/>
              <w:rPr>
                <w:rFonts w:ascii="楷体" w:hAnsi="楷体" w:eastAsia="楷体" w:cs="宋体"/>
                <w:b/>
                <w:spacing w:val="-2"/>
                <w:sz w:val="21"/>
                <w:szCs w:val="21"/>
              </w:rPr>
            </w:pPr>
            <w:r>
              <w:rPr>
                <w:rFonts w:hint="eastAsia" w:ascii="楷体" w:hAnsi="楷体" w:eastAsia="楷体" w:cs="宋体"/>
                <w:b/>
                <w:spacing w:val="-2"/>
                <w:sz w:val="21"/>
                <w:szCs w:val="21"/>
              </w:rPr>
              <w:t>认购起点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614" w:type="dxa"/>
            <w:vAlign w:val="center"/>
          </w:tcPr>
          <w:p>
            <w:pPr>
              <w:ind w:left="59" w:right="73" w:rightChars="35"/>
              <w:rPr>
                <w:rFonts w:ascii="楷体" w:hAnsi="楷体" w:eastAsia="楷体"/>
                <w:szCs w:val="21"/>
              </w:rPr>
            </w:pPr>
            <w:r>
              <w:rPr>
                <w:rFonts w:hint="eastAsia" w:ascii="楷体" w:hAnsi="楷体" w:eastAsia="楷体" w:cs="宋体"/>
                <w:spacing w:val="-2"/>
                <w:szCs w:val="21"/>
              </w:rPr>
              <w:t>投资者单笔</w:t>
            </w:r>
            <w:r>
              <w:rPr>
                <w:rFonts w:hint="eastAsia" w:ascii="楷体" w:hAnsi="楷体" w:eastAsia="楷体"/>
                <w:szCs w:val="21"/>
              </w:rPr>
              <w:t>认购起点金额为</w:t>
            </w:r>
            <w:r>
              <w:rPr>
                <w:rFonts w:ascii="楷体" w:hAnsi="楷体" w:eastAsia="楷体"/>
                <w:szCs w:val="21"/>
              </w:rPr>
              <w:t>1</w:t>
            </w:r>
            <w:r>
              <w:rPr>
                <w:rFonts w:hint="eastAsia" w:ascii="楷体" w:hAnsi="楷体" w:eastAsia="楷体"/>
                <w:szCs w:val="21"/>
              </w:rPr>
              <w:t>元，追加金额为</w:t>
            </w:r>
            <w:r>
              <w:rPr>
                <w:rFonts w:ascii="楷体" w:hAnsi="楷体" w:eastAsia="楷体"/>
                <w:szCs w:val="21"/>
              </w:rPr>
              <w:t>1</w:t>
            </w:r>
            <w:r>
              <w:rPr>
                <w:rFonts w:hint="eastAsia" w:ascii="楷体" w:hAnsi="楷体" w:eastAsia="楷体"/>
                <w:szCs w:val="21"/>
              </w:rPr>
              <w:t>元的整数倍。</w:t>
            </w:r>
          </w:p>
          <w:p>
            <w:pPr>
              <w:ind w:left="59" w:right="73" w:rightChars="35"/>
              <w:rPr>
                <w:rFonts w:ascii="楷体" w:hAnsi="楷体" w:eastAsia="楷体" w:cs="宋体"/>
                <w:spacing w:val="-2"/>
                <w:szCs w:val="21"/>
              </w:rPr>
            </w:pPr>
            <w:r>
              <w:rPr>
                <w:rFonts w:hint="eastAsia" w:ascii="楷体" w:hAnsi="楷体" w:eastAsia="楷体"/>
                <w:szCs w:val="21"/>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3"/>
              <w:ind w:left="55"/>
              <w:jc w:val="both"/>
              <w:rPr>
                <w:rFonts w:ascii="楷体" w:hAnsi="楷体" w:eastAsia="楷体" w:cs="宋体"/>
                <w:b/>
                <w:spacing w:val="-2"/>
                <w:sz w:val="21"/>
                <w:szCs w:val="21"/>
              </w:rPr>
            </w:pPr>
            <w:r>
              <w:rPr>
                <w:rFonts w:hint="eastAsia" w:ascii="楷体" w:hAnsi="楷体" w:eastAsia="楷体" w:cs="宋体"/>
                <w:b/>
                <w:spacing w:val="-2"/>
                <w:sz w:val="21"/>
                <w:szCs w:val="21"/>
              </w:rPr>
              <w:t>份额面值</w:t>
            </w:r>
          </w:p>
        </w:tc>
        <w:tc>
          <w:tcPr>
            <w:tcW w:w="6614" w:type="dxa"/>
            <w:vAlign w:val="center"/>
          </w:tcPr>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3"/>
              <w:ind w:left="55"/>
              <w:jc w:val="both"/>
              <w:rPr>
                <w:rFonts w:ascii="楷体" w:hAnsi="楷体" w:eastAsia="楷体" w:cs="宋体"/>
                <w:b/>
                <w:spacing w:val="-2"/>
                <w:sz w:val="21"/>
                <w:szCs w:val="21"/>
              </w:rPr>
            </w:pPr>
            <w:r>
              <w:rPr>
                <w:rFonts w:hint="eastAsia" w:ascii="楷体" w:hAnsi="楷体" w:eastAsia="楷体" w:cs="宋体"/>
                <w:b/>
                <w:spacing w:val="-2"/>
                <w:sz w:val="21"/>
                <w:szCs w:val="21"/>
              </w:rPr>
              <w:t>募集期</w:t>
            </w:r>
          </w:p>
        </w:tc>
        <w:tc>
          <w:tcPr>
            <w:tcW w:w="6614" w:type="dxa"/>
            <w:vAlign w:val="center"/>
          </w:tcPr>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7</w:t>
            </w:r>
            <w:r>
              <w:rPr>
                <w:rFonts w:hint="eastAsia" w:ascii="楷体" w:hAnsi="楷体" w:eastAsia="楷体" w:cs="宋体"/>
                <w:spacing w:val="-2"/>
                <w:sz w:val="21"/>
                <w:szCs w:val="21"/>
              </w:rPr>
              <w:t>日9:00至202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13</w:t>
            </w:r>
            <w:r>
              <w:rPr>
                <w:rFonts w:hint="eastAsia" w:ascii="楷体" w:hAnsi="楷体" w:eastAsia="楷体" w:cs="宋体"/>
                <w:spacing w:val="-2"/>
                <w:sz w:val="21"/>
                <w:szCs w:val="21"/>
              </w:rPr>
              <w:t>日17:00</w:t>
            </w:r>
          </w:p>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管理人在法律允许的范围内保留延长或提前终止产品募集期的权利。如有变动，实际产品募集期以管理人公告为准。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2"/>
              <w:ind w:left="55"/>
              <w:jc w:val="both"/>
              <w:rPr>
                <w:rFonts w:ascii="楷体" w:hAnsi="楷体" w:eastAsia="楷体" w:cs="宋体"/>
                <w:b/>
                <w:spacing w:val="-2"/>
                <w:sz w:val="21"/>
                <w:szCs w:val="21"/>
              </w:rPr>
            </w:pPr>
            <w:r>
              <w:rPr>
                <w:rFonts w:hint="eastAsia" w:ascii="楷体" w:hAnsi="楷体" w:eastAsia="楷体" w:cs="宋体"/>
                <w:b/>
                <w:spacing w:val="-2"/>
                <w:sz w:val="21"/>
                <w:szCs w:val="21"/>
              </w:rPr>
              <w:t>产品成立日/份额登记日</w:t>
            </w:r>
          </w:p>
        </w:tc>
        <w:tc>
          <w:tcPr>
            <w:tcW w:w="6614" w:type="dxa"/>
            <w:vAlign w:val="center"/>
          </w:tcPr>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14</w:t>
            </w:r>
            <w:r>
              <w:rPr>
                <w:rFonts w:hint="eastAsia" w:ascii="楷体" w:hAnsi="楷体" w:eastAsia="楷体" w:cs="宋体"/>
                <w:spacing w:val="-2"/>
                <w:sz w:val="21"/>
                <w:szCs w:val="21"/>
              </w:rPr>
              <w:t>日</w:t>
            </w:r>
          </w:p>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若产品认购份额未达到最低发行总规模3000万，或新的法律、法规导致本产品无法合法合规运行，或出现其他导致影响产品成立不可抗力因素，产品管理人有权利但无义务宣布产品不成立，并于产品募集期结束后5个工作日内将投资者认购资金返还至投资者资金账户，募集期及资金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2"/>
              <w:ind w:left="55"/>
              <w:jc w:val="both"/>
              <w:rPr>
                <w:rFonts w:ascii="楷体" w:hAnsi="楷体" w:eastAsia="楷体" w:cs="宋体"/>
                <w:b/>
                <w:spacing w:val="-2"/>
                <w:sz w:val="21"/>
                <w:szCs w:val="21"/>
              </w:rPr>
            </w:pPr>
            <w:r>
              <w:rPr>
                <w:rFonts w:hint="eastAsia" w:ascii="楷体" w:hAnsi="楷体" w:eastAsia="楷体" w:cs="宋体"/>
                <w:b/>
                <w:spacing w:val="-2"/>
                <w:sz w:val="21"/>
                <w:szCs w:val="21"/>
              </w:rPr>
              <w:t>产品到期日</w:t>
            </w:r>
          </w:p>
        </w:tc>
        <w:tc>
          <w:tcPr>
            <w:tcW w:w="6614" w:type="dxa"/>
            <w:vAlign w:val="center"/>
          </w:tcPr>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202</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日（如遇节假日，顺延至下一工作日）</w:t>
            </w:r>
          </w:p>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在符合产品说明书约定的条件下，管理人有权提前终止该产品，产品到期日受制于提前终止条款。详见下文“十、产品的终止与清算”。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2"/>
              <w:ind w:left="59" w:right="73" w:rightChars="35"/>
              <w:jc w:val="both"/>
              <w:rPr>
                <w:rFonts w:ascii="楷体" w:hAnsi="楷体" w:eastAsia="楷体" w:cs="宋体"/>
                <w:b/>
                <w:spacing w:val="-2"/>
                <w:sz w:val="21"/>
                <w:szCs w:val="21"/>
              </w:rPr>
            </w:pPr>
            <w:r>
              <w:rPr>
                <w:rFonts w:hint="eastAsia" w:ascii="楷体" w:hAnsi="楷体" w:eastAsia="楷体" w:cs="宋体"/>
                <w:b/>
                <w:spacing w:val="-2"/>
                <w:sz w:val="21"/>
                <w:szCs w:val="21"/>
              </w:rPr>
              <w:t>产品存续期限</w:t>
            </w:r>
          </w:p>
        </w:tc>
        <w:tc>
          <w:tcPr>
            <w:tcW w:w="6614" w:type="dxa"/>
            <w:vAlign w:val="center"/>
          </w:tcPr>
          <w:p>
            <w:pPr>
              <w:ind w:left="59" w:right="73" w:rightChars="35"/>
              <w:rPr>
                <w:rFonts w:ascii="楷体" w:hAnsi="楷体" w:eastAsia="楷体" w:cs="宋体"/>
                <w:spacing w:val="-2"/>
                <w:kern w:val="0"/>
                <w:szCs w:val="21"/>
              </w:rPr>
            </w:pPr>
            <w:r>
              <w:rPr>
                <w:rFonts w:hint="eastAsia" w:ascii="楷体" w:hAnsi="楷体" w:eastAsia="楷体" w:cs="宋体"/>
                <w:spacing w:val="-2"/>
                <w:kern w:val="0"/>
                <w:szCs w:val="21"/>
              </w:rPr>
              <w:t>3</w:t>
            </w:r>
            <w:r>
              <w:rPr>
                <w:rFonts w:hint="eastAsia" w:ascii="楷体" w:hAnsi="楷体" w:eastAsia="楷体" w:cs="宋体"/>
                <w:spacing w:val="-2"/>
                <w:kern w:val="0"/>
                <w:szCs w:val="21"/>
                <w:lang w:val="en-US" w:eastAsia="zh-CN"/>
              </w:rPr>
              <w:t>88</w:t>
            </w:r>
            <w:r>
              <w:rPr>
                <w:rFonts w:hint="eastAsia" w:ascii="楷体" w:hAnsi="楷体" w:eastAsia="楷体" w:cs="宋体"/>
                <w:spacing w:val="-2"/>
                <w:kern w:val="0"/>
                <w:szCs w:val="21"/>
              </w:rPr>
              <w:t>天（以理财产品实际存续天数为准），</w:t>
            </w:r>
            <w:r>
              <w:rPr>
                <w:rFonts w:hint="eastAsia" w:ascii="楷体" w:hAnsi="楷体" w:eastAsia="楷体" w:cs="Calibri"/>
                <w:b/>
                <w:szCs w:val="21"/>
                <w:u w:val="single"/>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2"/>
              <w:ind w:left="55"/>
              <w:jc w:val="both"/>
              <w:rPr>
                <w:rFonts w:ascii="楷体" w:hAnsi="楷体" w:eastAsia="楷体" w:cs="宋体"/>
                <w:b/>
                <w:spacing w:val="-2"/>
                <w:sz w:val="21"/>
                <w:szCs w:val="21"/>
              </w:rPr>
            </w:pPr>
            <w:r>
              <w:rPr>
                <w:rFonts w:hint="eastAsia" w:ascii="楷体" w:hAnsi="楷体" w:eastAsia="楷体" w:cs="宋体"/>
                <w:b/>
                <w:spacing w:val="-2"/>
                <w:sz w:val="21"/>
                <w:szCs w:val="21"/>
              </w:rPr>
              <w:t>单个客户持有份额上限</w:t>
            </w:r>
          </w:p>
        </w:tc>
        <w:tc>
          <w:tcPr>
            <w:tcW w:w="6614" w:type="dxa"/>
            <w:vAlign w:val="center"/>
          </w:tcPr>
          <w:p>
            <w:pPr>
              <w:ind w:left="59" w:right="73" w:rightChars="35"/>
              <w:rPr>
                <w:rFonts w:ascii="楷体" w:hAnsi="楷体" w:eastAsia="楷体" w:cs="宋体"/>
                <w:spacing w:val="-2"/>
                <w:kern w:val="0"/>
                <w:szCs w:val="21"/>
              </w:rPr>
            </w:pPr>
            <w:r>
              <w:rPr>
                <w:rFonts w:hint="eastAsia" w:ascii="楷体" w:hAnsi="楷体" w:eastAsia="楷体" w:cs="宋体"/>
                <w:spacing w:val="-2"/>
                <w:kern w:val="0"/>
                <w:szCs w:val="21"/>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2"/>
              <w:ind w:left="59" w:right="73" w:rightChars="35"/>
              <w:jc w:val="both"/>
              <w:rPr>
                <w:rFonts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614" w:type="dxa"/>
            <w:vAlign w:val="center"/>
          </w:tcPr>
          <w:p>
            <w:pPr>
              <w:pStyle w:val="34"/>
              <w:kinsoku w:val="0"/>
              <w:overflowPunct w:val="0"/>
              <w:spacing w:before="37"/>
              <w:ind w:left="21" w:leftChars="10" w:right="73" w:rightChars="35"/>
              <w:jc w:val="both"/>
              <w:rPr>
                <w:rFonts w:ascii="楷体" w:hAnsi="楷体" w:eastAsia="楷体" w:cs="宋体"/>
                <w:spacing w:val="-2"/>
                <w:sz w:val="21"/>
                <w:szCs w:val="21"/>
              </w:rPr>
            </w:pPr>
            <w:r>
              <w:rPr>
                <w:rFonts w:hint="eastAsia" w:ascii="楷体" w:hAnsi="楷体" w:eastAsia="楷体" w:cs="宋体"/>
                <w:b/>
                <w:bCs/>
                <w:spacing w:val="-2"/>
                <w:sz w:val="21"/>
                <w:szCs w:val="21"/>
                <w:u w:val="single"/>
              </w:rPr>
              <w:t>苏银理财</w:t>
            </w:r>
            <w:r>
              <w:rPr>
                <w:rFonts w:ascii="楷体" w:hAnsi="楷体" w:eastAsia="楷体" w:cs="宋体"/>
                <w:b/>
                <w:bCs/>
                <w:spacing w:val="-2"/>
                <w:sz w:val="21"/>
                <w:szCs w:val="21"/>
                <w:u w:val="single"/>
              </w:rPr>
              <w:t>参考过往投资经验，依据近期货币市场工具、债券</w:t>
            </w:r>
            <w:r>
              <w:rPr>
                <w:rFonts w:hint="eastAsia" w:ascii="楷体" w:hAnsi="楷体" w:eastAsia="楷体" w:cs="宋体"/>
                <w:b/>
                <w:bCs/>
                <w:spacing w:val="-2"/>
                <w:sz w:val="21"/>
                <w:szCs w:val="21"/>
                <w:u w:val="single"/>
              </w:rPr>
              <w:t>、非标准化债权</w:t>
            </w:r>
            <w:r>
              <w:rPr>
                <w:rFonts w:ascii="楷体" w:hAnsi="楷体" w:eastAsia="楷体" w:cs="宋体"/>
                <w:b/>
                <w:bCs/>
                <w:spacing w:val="-2"/>
                <w:sz w:val="21"/>
                <w:szCs w:val="21"/>
                <w:u w:val="single"/>
              </w:rPr>
              <w:t>等资产</w:t>
            </w:r>
            <w:r>
              <w:rPr>
                <w:rFonts w:hint="eastAsia" w:ascii="楷体" w:hAnsi="楷体" w:eastAsia="楷体" w:cs="宋体"/>
                <w:b/>
                <w:bCs/>
                <w:spacing w:val="-2"/>
                <w:sz w:val="21"/>
                <w:szCs w:val="21"/>
                <w:u w:val="single"/>
              </w:rPr>
              <w:t>投资</w:t>
            </w:r>
            <w:r>
              <w:rPr>
                <w:rFonts w:ascii="楷体" w:hAnsi="楷体" w:eastAsia="楷体" w:cs="宋体"/>
                <w:b/>
                <w:bCs/>
                <w:spacing w:val="-2"/>
                <w:sz w:val="21"/>
                <w:szCs w:val="21"/>
                <w:u w:val="single"/>
              </w:rPr>
              <w:t>收益水平，在产品说明书约定的投资范围和投资比例内</w:t>
            </w:r>
            <w:r>
              <w:rPr>
                <w:rFonts w:hint="eastAsia" w:ascii="楷体" w:hAnsi="楷体" w:eastAsia="楷体" w:cs="宋体"/>
                <w:b/>
                <w:bCs/>
                <w:spacing w:val="-2"/>
                <w:sz w:val="21"/>
                <w:szCs w:val="21"/>
                <w:u w:val="single"/>
              </w:rPr>
              <w:t>，综合考虑各份额收取的销售服务费和投资管理费的情况，</w:t>
            </w:r>
            <w:r>
              <w:rPr>
                <w:rFonts w:ascii="楷体" w:hAnsi="楷体" w:eastAsia="楷体" w:cs="宋体"/>
                <w:b/>
                <w:bCs/>
                <w:spacing w:val="-2"/>
                <w:sz w:val="21"/>
                <w:szCs w:val="21"/>
                <w:u w:val="single"/>
              </w:rPr>
              <w:t>模拟测算得出</w:t>
            </w:r>
            <w:r>
              <w:rPr>
                <w:rFonts w:hint="eastAsia" w:ascii="楷体" w:hAnsi="楷体" w:eastAsia="楷体" w:cs="宋体"/>
                <w:b/>
                <w:bCs/>
                <w:spacing w:val="-2"/>
                <w:sz w:val="21"/>
                <w:szCs w:val="21"/>
                <w:u w:val="single"/>
              </w:rPr>
              <w:t>业绩比较基准。本产品各份额因收取的销售服务费和投资管理费存在差异，业绩比较基准设置将有所不同。</w:t>
            </w:r>
            <w:r>
              <w:rPr>
                <w:rFonts w:hint="eastAsia" w:ascii="楷体" w:hAnsi="楷体" w:eastAsia="楷体" w:cs="宋体"/>
                <w:spacing w:val="-2"/>
                <w:sz w:val="21"/>
                <w:szCs w:val="21"/>
              </w:rPr>
              <w:t>各份额业绩比较基准如下：</w:t>
            </w:r>
          </w:p>
          <w:p>
            <w:pPr>
              <w:pStyle w:val="34"/>
              <w:kinsoku w:val="0"/>
              <w:overflowPunct w:val="0"/>
              <w:spacing w:before="12"/>
              <w:ind w:left="59" w:right="73" w:rightChars="35"/>
              <w:jc w:val="both"/>
              <w:rPr>
                <w:rFonts w:ascii="楷体" w:hAnsi="楷体" w:eastAsia="楷体" w:cs="宋体"/>
                <w:bCs/>
                <w:spacing w:val="-2"/>
                <w:kern w:val="2"/>
                <w:sz w:val="21"/>
                <w:szCs w:val="21"/>
              </w:rPr>
            </w:pPr>
            <w:r>
              <w:rPr>
                <w:rFonts w:hint="eastAsia" w:ascii="楷体" w:hAnsi="楷体" w:eastAsia="楷体" w:cs="宋体"/>
                <w:bCs/>
                <w:spacing w:val="-2"/>
                <w:kern w:val="2"/>
                <w:sz w:val="21"/>
                <w:szCs w:val="21"/>
              </w:rPr>
              <w:t>A份额：年化</w:t>
            </w:r>
            <w:r>
              <w:rPr>
                <w:rFonts w:hint="eastAsia" w:ascii="楷体" w:hAnsi="楷体" w:eastAsia="楷体" w:cs="宋体"/>
                <w:bCs/>
                <w:spacing w:val="-2"/>
                <w:kern w:val="2"/>
                <w:sz w:val="21"/>
                <w:szCs w:val="21"/>
                <w:lang w:val="en-US" w:eastAsia="zh-CN"/>
              </w:rPr>
              <w:t>2.70</w:t>
            </w:r>
            <w:r>
              <w:rPr>
                <w:rFonts w:hint="eastAsia" w:ascii="楷体" w:hAnsi="楷体" w:eastAsia="楷体" w:cs="宋体"/>
                <w:bCs/>
                <w:spacing w:val="-2"/>
                <w:kern w:val="2"/>
                <w:sz w:val="21"/>
                <w:szCs w:val="21"/>
              </w:rPr>
              <w:t>%</w:t>
            </w:r>
          </w:p>
          <w:p>
            <w:pPr>
              <w:pStyle w:val="34"/>
              <w:kinsoku w:val="0"/>
              <w:overflowPunct w:val="0"/>
              <w:spacing w:before="12"/>
              <w:ind w:left="59" w:right="73" w:rightChars="35"/>
              <w:jc w:val="both"/>
              <w:rPr>
                <w:rFonts w:ascii="楷体" w:hAnsi="楷体" w:eastAsia="楷体" w:cs="宋体"/>
                <w:bCs/>
                <w:spacing w:val="-2"/>
                <w:kern w:val="2"/>
                <w:sz w:val="21"/>
                <w:szCs w:val="21"/>
              </w:rPr>
            </w:pPr>
            <w:r>
              <w:rPr>
                <w:rFonts w:hint="eastAsia" w:ascii="楷体" w:hAnsi="楷体" w:eastAsia="楷体" w:cs="宋体"/>
                <w:bCs/>
                <w:spacing w:val="-2"/>
                <w:kern w:val="2"/>
                <w:sz w:val="21"/>
                <w:szCs w:val="21"/>
              </w:rPr>
              <w:t>B份额：年化</w:t>
            </w:r>
            <w:r>
              <w:rPr>
                <w:rFonts w:ascii="楷体" w:hAnsi="楷体" w:eastAsia="楷体" w:cs="宋体"/>
                <w:bCs/>
                <w:spacing w:val="-2"/>
                <w:kern w:val="2"/>
                <w:sz w:val="21"/>
                <w:szCs w:val="21"/>
              </w:rPr>
              <w:t>2</w:t>
            </w:r>
            <w:r>
              <w:rPr>
                <w:rFonts w:hint="eastAsia" w:ascii="楷体" w:hAnsi="楷体" w:eastAsia="楷体" w:cs="宋体"/>
                <w:bCs/>
                <w:spacing w:val="-2"/>
                <w:kern w:val="2"/>
                <w:sz w:val="21"/>
                <w:szCs w:val="21"/>
              </w:rPr>
              <w:t>.</w:t>
            </w:r>
            <w:r>
              <w:rPr>
                <w:rFonts w:hint="eastAsia" w:ascii="楷体" w:hAnsi="楷体" w:eastAsia="楷体" w:cs="宋体"/>
                <w:bCs/>
                <w:spacing w:val="-2"/>
                <w:kern w:val="2"/>
                <w:sz w:val="21"/>
                <w:szCs w:val="21"/>
                <w:lang w:val="en-US" w:eastAsia="zh-CN"/>
              </w:rPr>
              <w:t>60</w:t>
            </w:r>
            <w:r>
              <w:rPr>
                <w:rFonts w:hint="eastAsia" w:ascii="楷体" w:hAnsi="楷体" w:eastAsia="楷体" w:cs="宋体"/>
                <w:bCs/>
                <w:spacing w:val="-2"/>
                <w:kern w:val="2"/>
                <w:sz w:val="21"/>
                <w:szCs w:val="21"/>
              </w:rPr>
              <w:t>%</w:t>
            </w:r>
          </w:p>
          <w:p>
            <w:pPr>
              <w:pStyle w:val="34"/>
              <w:kinsoku w:val="0"/>
              <w:overflowPunct w:val="0"/>
              <w:spacing w:before="12"/>
              <w:ind w:left="59" w:right="73" w:rightChars="35"/>
              <w:jc w:val="both"/>
              <w:rPr>
                <w:rFonts w:hint="eastAsia" w:ascii="楷体" w:hAnsi="楷体" w:eastAsia="楷体" w:cs="宋体"/>
                <w:bCs/>
                <w:spacing w:val="-2"/>
                <w:kern w:val="2"/>
                <w:sz w:val="21"/>
                <w:szCs w:val="21"/>
              </w:rPr>
            </w:pPr>
            <w:r>
              <w:rPr>
                <w:rFonts w:hint="eastAsia" w:ascii="楷体" w:hAnsi="楷体" w:eastAsia="楷体" w:cs="宋体"/>
                <w:bCs/>
                <w:spacing w:val="-2"/>
                <w:kern w:val="2"/>
                <w:sz w:val="21"/>
                <w:szCs w:val="21"/>
              </w:rPr>
              <w:t>C份额：年化2.</w:t>
            </w:r>
            <w:r>
              <w:rPr>
                <w:rFonts w:hint="eastAsia" w:ascii="楷体" w:hAnsi="楷体" w:eastAsia="楷体" w:cs="宋体"/>
                <w:bCs/>
                <w:spacing w:val="-2"/>
                <w:kern w:val="2"/>
                <w:sz w:val="21"/>
                <w:szCs w:val="21"/>
                <w:lang w:val="en-US" w:eastAsia="zh-CN"/>
              </w:rPr>
              <w:t>40</w:t>
            </w:r>
            <w:r>
              <w:rPr>
                <w:rFonts w:hint="eastAsia" w:ascii="楷体" w:hAnsi="楷体" w:eastAsia="楷体" w:cs="宋体"/>
                <w:bCs/>
                <w:spacing w:val="-2"/>
                <w:kern w:val="2"/>
                <w:sz w:val="21"/>
                <w:szCs w:val="21"/>
              </w:rPr>
              <w:t>%</w:t>
            </w:r>
          </w:p>
          <w:p>
            <w:pPr>
              <w:pStyle w:val="34"/>
              <w:kinsoku w:val="0"/>
              <w:overflowPunct w:val="0"/>
              <w:spacing w:before="12"/>
              <w:ind w:left="59" w:right="73" w:rightChars="35"/>
              <w:jc w:val="both"/>
              <w:rPr>
                <w:rFonts w:hint="eastAsia" w:ascii="楷体" w:hAnsi="楷体" w:eastAsia="楷体" w:cs="宋体"/>
                <w:bCs/>
                <w:spacing w:val="-2"/>
                <w:kern w:val="2"/>
                <w:sz w:val="21"/>
                <w:szCs w:val="21"/>
              </w:rPr>
            </w:pPr>
            <w:r>
              <w:rPr>
                <w:rFonts w:hint="eastAsia" w:ascii="楷体" w:hAnsi="楷体" w:eastAsia="楷体" w:cs="宋体"/>
                <w:bCs/>
                <w:spacing w:val="-2"/>
                <w:kern w:val="2"/>
                <w:sz w:val="21"/>
                <w:szCs w:val="21"/>
                <w:lang w:val="en-US" w:eastAsia="zh-CN"/>
              </w:rPr>
              <w:t>D</w:t>
            </w:r>
            <w:r>
              <w:rPr>
                <w:rFonts w:hint="eastAsia" w:ascii="楷体" w:hAnsi="楷体" w:eastAsia="楷体" w:cs="宋体"/>
                <w:bCs/>
                <w:spacing w:val="-2"/>
                <w:kern w:val="2"/>
                <w:sz w:val="21"/>
                <w:szCs w:val="21"/>
              </w:rPr>
              <w:t>份额：年化</w:t>
            </w:r>
            <w:r>
              <w:rPr>
                <w:rFonts w:ascii="楷体" w:hAnsi="楷体" w:eastAsia="楷体" w:cs="宋体"/>
                <w:bCs/>
                <w:spacing w:val="-2"/>
                <w:kern w:val="2"/>
                <w:sz w:val="21"/>
                <w:szCs w:val="21"/>
              </w:rPr>
              <w:t>2</w:t>
            </w:r>
            <w:r>
              <w:rPr>
                <w:rFonts w:hint="eastAsia" w:ascii="楷体" w:hAnsi="楷体" w:eastAsia="楷体" w:cs="宋体"/>
                <w:bCs/>
                <w:spacing w:val="-2"/>
                <w:kern w:val="2"/>
                <w:sz w:val="21"/>
                <w:szCs w:val="21"/>
              </w:rPr>
              <w:t>.</w:t>
            </w:r>
            <w:r>
              <w:rPr>
                <w:rFonts w:hint="eastAsia" w:ascii="楷体" w:hAnsi="楷体" w:eastAsia="楷体" w:cs="宋体"/>
                <w:bCs/>
                <w:spacing w:val="-2"/>
                <w:kern w:val="2"/>
                <w:sz w:val="21"/>
                <w:szCs w:val="21"/>
                <w:lang w:val="en-US" w:eastAsia="zh-CN"/>
              </w:rPr>
              <w:t>60</w:t>
            </w:r>
            <w:r>
              <w:rPr>
                <w:rFonts w:hint="eastAsia" w:ascii="楷体" w:hAnsi="楷体" w:eastAsia="楷体" w:cs="宋体"/>
                <w:bCs/>
                <w:spacing w:val="-2"/>
                <w:kern w:val="2"/>
                <w:sz w:val="21"/>
                <w:szCs w:val="21"/>
              </w:rPr>
              <w:t>%</w:t>
            </w:r>
          </w:p>
          <w:p>
            <w:pPr>
              <w:ind w:left="59" w:right="73" w:rightChars="35"/>
              <w:rPr>
                <w:rFonts w:ascii="楷体" w:hAnsi="楷体" w:eastAsia="楷体" w:cs="宋体"/>
                <w:b/>
                <w:spacing w:val="-2"/>
                <w:szCs w:val="21"/>
                <w:u w:val="single"/>
              </w:rPr>
            </w:pPr>
            <w:r>
              <w:rPr>
                <w:rFonts w:hint="eastAsia" w:ascii="楷体" w:hAnsi="楷体" w:eastAsia="楷体" w:cs="宋体"/>
                <w:b/>
                <w:spacing w:val="-2"/>
                <w:szCs w:val="21"/>
                <w:u w:val="single"/>
              </w:rPr>
              <w:t>本产品为净值型产品，业绩表现将随市场波动，具有不确定性。业绩比</w:t>
            </w:r>
          </w:p>
          <w:p>
            <w:pPr>
              <w:ind w:left="59" w:right="73" w:rightChars="35"/>
              <w:rPr>
                <w:rFonts w:ascii="楷体" w:hAnsi="楷体" w:eastAsia="楷体" w:cs="宋体"/>
                <w:spacing w:val="-2"/>
                <w:kern w:val="0"/>
                <w:szCs w:val="21"/>
              </w:rPr>
            </w:pPr>
            <w:r>
              <w:rPr>
                <w:rFonts w:hint="eastAsia" w:ascii="楷体" w:hAnsi="楷体" w:eastAsia="楷体" w:cs="宋体"/>
                <w:b/>
                <w:spacing w:val="-2"/>
                <w:szCs w:val="21"/>
                <w:u w:val="single"/>
              </w:rPr>
              <w:t>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vAlign w:val="center"/>
          </w:tcPr>
          <w:p>
            <w:pPr>
              <w:pStyle w:val="34"/>
              <w:kinsoku w:val="0"/>
              <w:overflowPunct w:val="0"/>
              <w:spacing w:before="18"/>
              <w:ind w:left="55"/>
              <w:jc w:val="both"/>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614" w:type="dxa"/>
            <w:vAlign w:val="center"/>
          </w:tcPr>
          <w:p>
            <w:pPr>
              <w:ind w:left="59" w:right="73" w:rightChars="3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本产品费用包括托管费、销售服务费、投资管理费、超额业绩报酬（如有）以及产品运作和清算中产生的其他费用等。</w:t>
            </w:r>
          </w:p>
          <w:p>
            <w:pPr>
              <w:ind w:left="59" w:right="73" w:rightChars="35"/>
              <w:rPr>
                <w:rFonts w:ascii="楷体" w:hAnsi="楷体" w:eastAsia="楷体" w:cs="宋体"/>
                <w:spacing w:val="-2"/>
                <w:szCs w:val="21"/>
              </w:rPr>
            </w:pPr>
            <w:r>
              <w:rPr>
                <w:rFonts w:hint="eastAsia" w:ascii="楷体" w:hAnsi="楷体" w:eastAsia="楷体" w:cs="宋体"/>
                <w:spacing w:val="-2"/>
                <w:szCs w:val="21"/>
              </w:rPr>
              <w:t>1.托管费率：0.02%/年；</w:t>
            </w:r>
          </w:p>
          <w:p>
            <w:pPr>
              <w:ind w:left="59" w:right="73" w:rightChars="35"/>
              <w:rPr>
                <w:rFonts w:ascii="楷体" w:hAnsi="楷体" w:eastAsia="楷体" w:cs="宋体"/>
                <w:spacing w:val="-2"/>
                <w:szCs w:val="21"/>
              </w:rPr>
            </w:pPr>
            <w:r>
              <w:rPr>
                <w:rFonts w:hint="eastAsia" w:ascii="楷体" w:hAnsi="楷体" w:eastAsia="楷体" w:cs="宋体"/>
                <w:spacing w:val="-2"/>
                <w:szCs w:val="21"/>
              </w:rPr>
              <w:t>2.销售服务费率：A份额0.10%/年，B份额0.20%/年，C份额0.40%/年，</w:t>
            </w:r>
            <w:r>
              <w:rPr>
                <w:rFonts w:hint="eastAsia" w:ascii="楷体" w:hAnsi="楷体" w:eastAsia="楷体" w:cs="宋体"/>
                <w:spacing w:val="-2"/>
                <w:szCs w:val="21"/>
                <w:lang w:val="en-US" w:eastAsia="zh-CN"/>
              </w:rPr>
              <w:t>D</w:t>
            </w:r>
            <w:r>
              <w:rPr>
                <w:rFonts w:hint="eastAsia" w:ascii="楷体" w:hAnsi="楷体" w:eastAsia="楷体" w:cs="宋体"/>
                <w:spacing w:val="-2"/>
                <w:szCs w:val="21"/>
              </w:rPr>
              <w:t>份额0.20%/年；</w:t>
            </w:r>
          </w:p>
          <w:p>
            <w:pPr>
              <w:ind w:left="59" w:right="73" w:rightChars="35"/>
              <w:rPr>
                <w:rFonts w:ascii="楷体" w:hAnsi="楷体" w:eastAsia="楷体" w:cs="宋体"/>
                <w:spacing w:val="-2"/>
                <w:szCs w:val="21"/>
              </w:rPr>
            </w:pPr>
            <w:r>
              <w:rPr>
                <w:rFonts w:hint="eastAsia" w:ascii="楷体" w:hAnsi="楷体" w:eastAsia="楷体" w:cs="宋体"/>
                <w:spacing w:val="-2"/>
                <w:szCs w:val="21"/>
              </w:rPr>
              <w:t>3.投资管理费率：0.</w:t>
            </w:r>
            <w:r>
              <w:rPr>
                <w:rFonts w:hint="eastAsia" w:ascii="楷体" w:hAnsi="楷体" w:eastAsia="楷体" w:cs="宋体"/>
                <w:spacing w:val="-2"/>
                <w:szCs w:val="21"/>
                <w:lang w:val="en-US" w:eastAsia="zh-CN"/>
              </w:rPr>
              <w:t>25</w:t>
            </w:r>
            <w:r>
              <w:rPr>
                <w:rFonts w:hint="eastAsia" w:ascii="楷体" w:hAnsi="楷体" w:eastAsia="楷体" w:cs="宋体"/>
                <w:spacing w:val="-2"/>
                <w:szCs w:val="21"/>
              </w:rPr>
              <w:t>%/年；</w:t>
            </w:r>
          </w:p>
          <w:p>
            <w:pPr>
              <w:ind w:left="59" w:right="73" w:rightChars="35"/>
              <w:rPr>
                <w:rFonts w:ascii="楷体" w:hAnsi="楷体" w:eastAsia="楷体" w:cs="宋体"/>
                <w:spacing w:val="-2"/>
                <w:szCs w:val="21"/>
              </w:rPr>
            </w:pPr>
            <w:r>
              <w:rPr>
                <w:rFonts w:hint="eastAsia" w:ascii="楷体" w:hAnsi="楷体" w:eastAsia="楷体" w:cs="宋体"/>
                <w:spacing w:val="-2"/>
                <w:szCs w:val="21"/>
              </w:rPr>
              <w:t>4.超额业绩报酬：若产品各份额实际投资收益在扣除托管费、销售服务费、投资管理费</w:t>
            </w:r>
            <w:r>
              <w:rPr>
                <w:rFonts w:hint="eastAsia" w:ascii="楷体" w:hAnsi="楷体" w:eastAsia="楷体" w:cs="宋体"/>
                <w:spacing w:val="-2"/>
                <w:szCs w:val="21"/>
                <w:lang w:val="en-US" w:eastAsia="zh-CN"/>
              </w:rPr>
              <w:t>等费用</w:t>
            </w:r>
            <w:r>
              <w:rPr>
                <w:rFonts w:hint="eastAsia" w:ascii="楷体" w:hAnsi="楷体" w:eastAsia="楷体" w:cs="宋体"/>
                <w:spacing w:val="-2"/>
                <w:szCs w:val="21"/>
              </w:rPr>
              <w:t>后超过各份额业绩比较基准，产品管理人将按照超出部分的</w:t>
            </w:r>
            <w:r>
              <w:rPr>
                <w:rFonts w:hint="eastAsia" w:ascii="楷体" w:hAnsi="楷体" w:eastAsia="楷体" w:cs="宋体"/>
                <w:spacing w:val="-2"/>
                <w:szCs w:val="21"/>
                <w:lang w:val="en-US" w:eastAsia="zh-CN"/>
              </w:rPr>
              <w:t>5</w:t>
            </w:r>
            <w:r>
              <w:rPr>
                <w:rFonts w:hint="eastAsia" w:ascii="楷体" w:hAnsi="楷体" w:eastAsia="楷体" w:cs="宋体"/>
                <w:spacing w:val="-2"/>
                <w:szCs w:val="21"/>
              </w:rPr>
              <w:t>0%收取超额业绩报酬。</w:t>
            </w:r>
          </w:p>
          <w:p>
            <w:pPr>
              <w:ind w:left="59" w:right="73" w:rightChars="35"/>
              <w:rPr>
                <w:rFonts w:ascii="楷体" w:hAnsi="楷体" w:eastAsia="楷体" w:cs="宋体"/>
                <w:spacing w:val="-2"/>
                <w:szCs w:val="21"/>
              </w:rPr>
            </w:pPr>
            <w:r>
              <w:rPr>
                <w:rFonts w:hint="eastAsia" w:ascii="楷体" w:hAnsi="楷体" w:eastAsia="楷体" w:cs="宋体"/>
                <w:spacing w:val="-2"/>
                <w:szCs w:val="21"/>
              </w:rPr>
              <w:t>产品存续期内理财产品将每日暂估超额业绩报酬，仅用于理财产品会计核算，并将扣除“暂估超额业绩报酬”后的理财产品份额净值按照说明书约定向投资者进行披露。理财产品实际的超额业绩报酬以到期日计提核算的数值为准。计算累计年化收益率和业绩比较基准时，1年按365日计算。</w:t>
            </w:r>
          </w:p>
          <w:p>
            <w:pPr>
              <w:ind w:left="59" w:right="73" w:rightChars="35"/>
              <w:rPr>
                <w:rFonts w:ascii="楷体" w:hAnsi="楷体" w:eastAsia="楷体"/>
                <w:sz w:val="24"/>
                <w:szCs w:val="24"/>
              </w:rPr>
            </w:pPr>
            <w:r>
              <w:rPr>
                <w:rFonts w:hint="eastAsia" w:ascii="楷体" w:hAnsi="楷体" w:eastAsia="楷体" w:cs="宋体"/>
                <w:spacing w:val="-2"/>
                <w:szCs w:val="21"/>
              </w:rPr>
              <w:t>产品存续期内苏银理财可对费用进行调整，实际收取费率以管理人公告为准。</w:t>
            </w:r>
            <w:r>
              <w:rPr>
                <w:rFonts w:hint="eastAsia" w:ascii="楷体" w:hAnsi="楷体" w:eastAsia="楷体" w:cs="宋体"/>
                <w:b/>
                <w:spacing w:val="-2"/>
                <w:szCs w:val="21"/>
                <w:u w:val="single"/>
              </w:rPr>
              <w:t>本产品设置有多个份额，各份额按照设置的销售对象和销售起点进行销售，各份额实际收取的销售服务费率和投资管理费率可能存在差异，客户根据产品销售时设置的条件自主选择购买。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tcBorders>
              <w:bottom w:val="single" w:color="auto" w:sz="4" w:space="0"/>
            </w:tcBorders>
            <w:vAlign w:val="center"/>
          </w:tcPr>
          <w:p>
            <w:pPr>
              <w:pStyle w:val="34"/>
              <w:kinsoku w:val="0"/>
              <w:overflowPunct w:val="0"/>
              <w:spacing w:before="18"/>
              <w:ind w:left="55"/>
              <w:jc w:val="both"/>
              <w:rPr>
                <w:rFonts w:ascii="楷体" w:hAnsi="楷体" w:eastAsia="楷体" w:cs="宋体"/>
                <w:b/>
                <w:spacing w:val="-2"/>
                <w:sz w:val="21"/>
                <w:szCs w:val="21"/>
              </w:rPr>
            </w:pPr>
            <w:r>
              <w:rPr>
                <w:rFonts w:hint="eastAsia" w:ascii="楷体" w:hAnsi="楷体" w:eastAsia="楷体" w:cs="宋体"/>
                <w:b/>
                <w:spacing w:val="-2"/>
                <w:sz w:val="21"/>
                <w:szCs w:val="21"/>
              </w:rPr>
              <w:t>估值日</w:t>
            </w:r>
          </w:p>
        </w:tc>
        <w:tc>
          <w:tcPr>
            <w:tcW w:w="6614" w:type="dxa"/>
            <w:tcBorders>
              <w:bottom w:val="single" w:color="auto" w:sz="4" w:space="0"/>
            </w:tcBorders>
            <w:vAlign w:val="center"/>
          </w:tcPr>
          <w:p>
            <w:pPr>
              <w:ind w:left="59" w:right="73" w:rightChars="35"/>
              <w:rPr>
                <w:rFonts w:ascii="楷体" w:hAnsi="楷体" w:eastAsia="楷体" w:cs="宋体"/>
                <w:spacing w:val="-2"/>
                <w:szCs w:val="21"/>
              </w:rPr>
            </w:pPr>
            <w:r>
              <w:rPr>
                <w:rFonts w:hint="eastAsia" w:ascii="楷体" w:hAnsi="楷体" w:eastAsia="楷体" w:cs="宋体"/>
                <w:spacing w:val="-2"/>
                <w:szCs w:val="21"/>
              </w:rPr>
              <w:t>每周估值，并于估值日后第2个工作日内，通过本产品说明书约定方式披露产品单位净值。详见下文“九、产品估值”。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tcBorders>
              <w:bottom w:val="single" w:color="auto" w:sz="4" w:space="0"/>
            </w:tcBorders>
            <w:vAlign w:val="center"/>
          </w:tcPr>
          <w:p>
            <w:pPr>
              <w:pStyle w:val="34"/>
              <w:kinsoku w:val="0"/>
              <w:overflowPunct w:val="0"/>
              <w:spacing w:before="18"/>
              <w:ind w:left="55"/>
              <w:jc w:val="both"/>
              <w:rPr>
                <w:rFonts w:ascii="楷体" w:hAnsi="楷体" w:eastAsia="楷体" w:cs="宋体"/>
                <w:b/>
                <w:spacing w:val="-2"/>
                <w:sz w:val="21"/>
                <w:szCs w:val="21"/>
              </w:rPr>
            </w:pPr>
            <w:r>
              <w:rPr>
                <w:rFonts w:hint="eastAsia" w:ascii="楷体" w:hAnsi="楷体" w:eastAsia="楷体" w:cs="宋体"/>
                <w:b/>
                <w:spacing w:val="-2"/>
                <w:sz w:val="21"/>
                <w:szCs w:val="21"/>
              </w:rPr>
              <w:t>信息披露</w:t>
            </w:r>
          </w:p>
        </w:tc>
        <w:tc>
          <w:tcPr>
            <w:tcW w:w="6614" w:type="dxa"/>
            <w:tcBorders>
              <w:bottom w:val="single" w:color="auto" w:sz="4" w:space="0"/>
            </w:tcBorders>
            <w:vAlign w:val="center"/>
          </w:tcPr>
          <w:p>
            <w:pPr>
              <w:ind w:left="59" w:right="73" w:rightChars="35"/>
              <w:rPr>
                <w:rFonts w:ascii="楷体" w:hAnsi="楷体" w:eastAsia="楷体" w:cs="宋体"/>
                <w:spacing w:val="-2"/>
                <w:szCs w:val="21"/>
              </w:rPr>
            </w:pPr>
            <w:r>
              <w:rPr>
                <w:rFonts w:hint="eastAsia" w:ascii="楷体" w:hAnsi="楷体" w:eastAsia="楷体" w:cs="宋体"/>
                <w:spacing w:val="-2"/>
                <w:szCs w:val="21"/>
              </w:rPr>
              <w:t>管理人将按照《产品说明书》中约定的方式进行信息披露，详见下文“十四、信息披露”。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tcBorders>
              <w:bottom w:val="single" w:color="auto" w:sz="4" w:space="0"/>
            </w:tcBorders>
            <w:vAlign w:val="center"/>
          </w:tcPr>
          <w:p>
            <w:pPr>
              <w:pStyle w:val="34"/>
              <w:kinsoku w:val="0"/>
              <w:overflowPunct w:val="0"/>
              <w:spacing w:before="18"/>
              <w:ind w:left="55"/>
              <w:jc w:val="both"/>
              <w:rPr>
                <w:rFonts w:ascii="楷体" w:hAnsi="楷体" w:eastAsia="楷体" w:cs="宋体"/>
                <w:b/>
                <w:spacing w:val="-2"/>
                <w:sz w:val="21"/>
                <w:szCs w:val="21"/>
              </w:rPr>
            </w:pPr>
            <w:r>
              <w:rPr>
                <w:rFonts w:hint="eastAsia" w:ascii="楷体" w:hAnsi="楷体" w:eastAsia="楷体" w:cs="宋体"/>
                <w:b/>
                <w:spacing w:val="-2"/>
                <w:sz w:val="21"/>
                <w:szCs w:val="21"/>
              </w:rPr>
              <w:t>收益分配</w:t>
            </w:r>
          </w:p>
        </w:tc>
        <w:tc>
          <w:tcPr>
            <w:tcW w:w="6614" w:type="dxa"/>
            <w:tcBorders>
              <w:bottom w:val="single" w:color="auto" w:sz="4" w:space="0"/>
            </w:tcBorders>
            <w:vAlign w:val="center"/>
          </w:tcPr>
          <w:p>
            <w:pPr>
              <w:ind w:left="59" w:right="73" w:rightChars="35"/>
              <w:rPr>
                <w:rFonts w:ascii="楷体" w:hAnsi="楷体" w:eastAsia="楷体" w:cs="宋体"/>
                <w:spacing w:val="-2"/>
                <w:szCs w:val="21"/>
              </w:rPr>
            </w:pPr>
            <w:r>
              <w:rPr>
                <w:rFonts w:hint="eastAsia" w:ascii="楷体" w:hAnsi="楷体" w:eastAsia="楷体" w:cs="宋体"/>
                <w:spacing w:val="-2"/>
                <w:szCs w:val="21"/>
              </w:rPr>
              <w:t>本产品无分红机制，投资运作情况体现为产品净值变化。产品投资运作到期，投资收益扣除相关费用后，全部分配给投资者。</w:t>
            </w:r>
            <w:r>
              <w:rPr>
                <w:rFonts w:ascii="楷体" w:hAnsi="楷体" w:eastAsia="楷体" w:cs="宋体"/>
                <w:spacing w:val="-2"/>
                <w:szCs w:val="21"/>
              </w:rPr>
              <w:t>详见下文</w:t>
            </w:r>
            <w:r>
              <w:rPr>
                <w:rFonts w:hint="eastAsia" w:ascii="楷体" w:hAnsi="楷体" w:eastAsia="楷体" w:cs="宋体"/>
                <w:spacing w:val="-2"/>
                <w:szCs w:val="21"/>
              </w:rPr>
              <w:t>“十、产品的终止与清算”。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278" w:type="dxa"/>
            <w:tcBorders>
              <w:top w:val="single" w:color="auto" w:sz="4" w:space="0"/>
              <w:left w:val="single" w:color="auto" w:sz="4" w:space="0"/>
              <w:bottom w:val="single" w:color="auto" w:sz="4" w:space="0"/>
              <w:right w:val="single" w:color="auto" w:sz="4" w:space="0"/>
            </w:tcBorders>
            <w:vAlign w:val="center"/>
          </w:tcPr>
          <w:p>
            <w:pPr>
              <w:pStyle w:val="34"/>
              <w:kinsoku w:val="0"/>
              <w:overflowPunct w:val="0"/>
              <w:spacing w:before="18"/>
              <w:ind w:left="55"/>
              <w:jc w:val="both"/>
              <w:rPr>
                <w:rFonts w:ascii="楷体" w:hAnsi="楷体" w:eastAsia="楷体" w:cs="宋体"/>
                <w:b/>
                <w:spacing w:val="-2"/>
                <w:sz w:val="21"/>
                <w:szCs w:val="21"/>
              </w:rPr>
            </w:pPr>
            <w:r>
              <w:rPr>
                <w:rFonts w:hint="eastAsia" w:ascii="楷体" w:hAnsi="楷体" w:eastAsia="楷体" w:cs="宋体"/>
                <w:b/>
                <w:spacing w:val="-2"/>
                <w:sz w:val="21"/>
                <w:szCs w:val="21"/>
              </w:rPr>
              <w:t>税款</w:t>
            </w:r>
          </w:p>
        </w:tc>
        <w:tc>
          <w:tcPr>
            <w:tcW w:w="6614" w:type="dxa"/>
            <w:tcBorders>
              <w:top w:val="single" w:color="auto" w:sz="4" w:space="0"/>
              <w:left w:val="single" w:color="auto" w:sz="4" w:space="0"/>
              <w:bottom w:val="single" w:color="auto" w:sz="4" w:space="0"/>
              <w:right w:val="single" w:color="auto" w:sz="4" w:space="0"/>
            </w:tcBorders>
            <w:vAlign w:val="center"/>
          </w:tcPr>
          <w:p>
            <w:pPr>
              <w:ind w:left="59" w:right="73" w:rightChars="35"/>
              <w:rPr>
                <w:rFonts w:ascii="楷体" w:hAnsi="楷体" w:eastAsia="楷体" w:cs="宋体"/>
                <w:spacing w:val="-2"/>
                <w:szCs w:val="21"/>
              </w:rPr>
            </w:pPr>
            <w:r>
              <w:rPr>
                <w:rFonts w:hint="eastAsia" w:ascii="楷体" w:hAnsi="楷体" w:eastAsia="楷体" w:cs="宋体"/>
                <w:spacing w:val="-2"/>
                <w:szCs w:val="21"/>
              </w:rPr>
              <w:t xml:space="preserve">本产品运作过程中涉及的各纳税主体，其纳税义务按国家税收法律、法规执行。详见下文“十二、税收规定”。 </w:t>
            </w:r>
          </w:p>
        </w:tc>
      </w:tr>
    </w:tbl>
    <w:p>
      <w:pPr>
        <w:numPr>
          <w:ilvl w:val="0"/>
          <w:numId w:val="11"/>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监管机构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金额上限、认购资金的最</w:t>
      </w:r>
      <w:r>
        <w:rPr>
          <w:rFonts w:hint="eastAsia" w:ascii="楷体" w:hAnsi="楷体" w:eastAsia="楷体" w:cs="Calibri"/>
          <w:sz w:val="24"/>
          <w:szCs w:val="24"/>
        </w:rPr>
        <w:t>低</w:t>
      </w:r>
      <w:r>
        <w:rPr>
          <w:rFonts w:ascii="楷体" w:hAnsi="楷体" w:eastAsia="楷体" w:cs="Calibri"/>
          <w:sz w:val="24"/>
          <w:szCs w:val="24"/>
        </w:rPr>
        <w:t>金额等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1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法律法规、监管政策和本理财计划文件约定的其他权利。</w:t>
      </w:r>
    </w:p>
    <w:p>
      <w:pPr>
        <w:numPr>
          <w:ilvl w:val="0"/>
          <w:numId w:val="11"/>
        </w:numPr>
        <w:tabs>
          <w:tab w:val="left" w:pos="1134"/>
        </w:tabs>
        <w:ind w:firstLine="562" w:firstLineChars="200"/>
        <w:rPr>
          <w:rFonts w:ascii="楷体" w:hAnsi="楷体" w:eastAsia="楷体"/>
          <w:b/>
          <w:sz w:val="28"/>
          <w:szCs w:val="28"/>
        </w:rPr>
      </w:pPr>
      <w:r>
        <w:rPr>
          <w:rFonts w:hint="eastAsia" w:ascii="楷体" w:hAnsi="楷体" w:eastAsia="楷体"/>
          <w:b/>
          <w:sz w:val="28"/>
          <w:szCs w:val="28"/>
        </w:rPr>
        <w:t>销售机构</w:t>
      </w:r>
    </w:p>
    <w:p>
      <w:pPr>
        <w:ind w:firstLine="480" w:firstLineChars="200"/>
        <w:rPr>
          <w:rFonts w:ascii="楷体" w:hAnsi="楷体" w:eastAsia="楷体"/>
          <w:sz w:val="24"/>
          <w:szCs w:val="24"/>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bCs/>
          <w:sz w:val="24"/>
          <w:szCs w:val="24"/>
          <w:u w:val="single"/>
        </w:rPr>
        <w:t>销售机构负责理财产品宣传推广、投资者风险承受能力评估和投资者适当性管理、理财产品客户身份识别及反洗钱、反恐怖融资及非居民金融账户涉税信息调查、理财产品份额认购/申购/赎回、协助管理人与投资者订立理财产品合同、协助投资者与管理人沟通、接受投资者咨询和客户维护等销售服务工作。销售机构不承担产品投资、兑付和风险管理责任，产品的投资、兑付和风险管理责任由管理人苏银理财承担。</w:t>
      </w:r>
      <w:r>
        <w:rPr>
          <w:rFonts w:hint="eastAsia" w:ascii="楷体" w:hAnsi="楷体" w:eastAsia="楷体"/>
          <w:sz w:val="24"/>
          <w:szCs w:val="24"/>
        </w:rPr>
        <w:t>本产品各份额销售机构如下：</w:t>
      </w:r>
    </w:p>
    <w:tbl>
      <w:tblPr>
        <w:tblStyle w:val="15"/>
        <w:tblW w:w="0" w:type="auto"/>
        <w:tblInd w:w="113" w:type="dxa"/>
        <w:tblLayout w:type="autofit"/>
        <w:tblCellMar>
          <w:top w:w="0" w:type="dxa"/>
          <w:left w:w="108" w:type="dxa"/>
          <w:bottom w:w="0" w:type="dxa"/>
          <w:right w:w="108" w:type="dxa"/>
        </w:tblCellMar>
      </w:tblPr>
      <w:tblGrid>
        <w:gridCol w:w="846"/>
        <w:gridCol w:w="3538"/>
        <w:gridCol w:w="4025"/>
      </w:tblGrid>
      <w:tr>
        <w:tblPrEx>
          <w:tblCellMar>
            <w:top w:w="0" w:type="dxa"/>
            <w:left w:w="108" w:type="dxa"/>
            <w:bottom w:w="0" w:type="dxa"/>
            <w:right w:w="108" w:type="dxa"/>
          </w:tblCellMar>
        </w:tblPrEx>
        <w:trPr>
          <w:trHeight w:val="255" w:hRule="atLeast"/>
        </w:trPr>
        <w:tc>
          <w:tcPr>
            <w:tcW w:w="84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0" w:lineRule="atLeast"/>
              <w:jc w:val="center"/>
              <w:rPr>
                <w:rFonts w:ascii="楷体" w:hAnsi="楷体" w:eastAsia="楷体" w:cs="Arial"/>
                <w:b/>
                <w:bCs/>
                <w:kern w:val="0"/>
                <w:sz w:val="20"/>
                <w:szCs w:val="20"/>
              </w:rPr>
            </w:pPr>
            <w:bookmarkStart w:id="3" w:name="_Hlk167455320"/>
            <w:r>
              <w:rPr>
                <w:rFonts w:hint="eastAsia" w:ascii="楷体" w:hAnsi="楷体" w:eastAsia="楷体" w:cs="Arial"/>
                <w:b/>
                <w:bCs/>
                <w:kern w:val="0"/>
                <w:sz w:val="20"/>
                <w:szCs w:val="20"/>
              </w:rPr>
              <w:t>份额</w:t>
            </w:r>
          </w:p>
        </w:tc>
        <w:tc>
          <w:tcPr>
            <w:tcW w:w="7563"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spacing w:line="0" w:lineRule="atLeast"/>
              <w:jc w:val="center"/>
              <w:rPr>
                <w:rFonts w:ascii="楷体" w:hAnsi="楷体" w:eastAsia="楷体" w:cs="Arial"/>
                <w:b/>
                <w:bCs/>
                <w:kern w:val="0"/>
                <w:sz w:val="20"/>
                <w:szCs w:val="20"/>
              </w:rPr>
            </w:pPr>
            <w:r>
              <w:rPr>
                <w:rFonts w:hint="eastAsia" w:ascii="楷体" w:hAnsi="楷体" w:eastAsia="楷体" w:cs="Arial"/>
                <w:b/>
                <w:bCs/>
                <w:kern w:val="0"/>
                <w:sz w:val="20"/>
                <w:szCs w:val="20"/>
              </w:rPr>
              <w:t>销售机构</w:t>
            </w:r>
          </w:p>
        </w:tc>
      </w:tr>
      <w:tr>
        <w:tblPrEx>
          <w:tblCellMar>
            <w:top w:w="0" w:type="dxa"/>
            <w:left w:w="108" w:type="dxa"/>
            <w:bottom w:w="0" w:type="dxa"/>
            <w:right w:w="108" w:type="dxa"/>
          </w:tblCellMar>
        </w:tblPrEx>
        <w:trPr>
          <w:trHeight w:val="255" w:hRule="atLeast"/>
        </w:trPr>
        <w:tc>
          <w:tcPr>
            <w:tcW w:w="846" w:type="dxa"/>
            <w:vMerge w:val="restart"/>
            <w:tcBorders>
              <w:top w:val="nil"/>
              <w:left w:val="single" w:color="auto" w:sz="4" w:space="0"/>
              <w:right w:val="single" w:color="auto" w:sz="4" w:space="0"/>
            </w:tcBorders>
            <w:shd w:val="clear" w:color="auto" w:fill="auto"/>
            <w:noWrap/>
            <w:vAlign w:val="center"/>
          </w:tcPr>
          <w:p>
            <w:pPr>
              <w:widowControl/>
              <w:spacing w:line="0" w:lineRule="atLeast"/>
              <w:jc w:val="center"/>
              <w:rPr>
                <w:rFonts w:ascii="楷体" w:hAnsi="楷体" w:eastAsia="楷体" w:cs="Arial"/>
                <w:kern w:val="0"/>
                <w:sz w:val="20"/>
                <w:szCs w:val="20"/>
              </w:rPr>
            </w:pPr>
            <w:r>
              <w:rPr>
                <w:rFonts w:hint="eastAsia" w:ascii="楷体" w:hAnsi="楷体" w:eastAsia="楷体" w:cs="Arial"/>
                <w:kern w:val="0"/>
                <w:sz w:val="20"/>
                <w:szCs w:val="20"/>
              </w:rPr>
              <w:t>A份额</w:t>
            </w: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上海银行股份有限公司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江苏沛县农村商业银行股份有限公司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江苏灌云农村商业银行股份有限公司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江苏张家港农村商业银行股份有限公司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江苏沭阳农村商业银行股份有限公司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嘉兴银行股份有限公司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江苏泗洪农村商业银行股份有限公司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日照银行股份有限公司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江苏仪征农村商业银行股份有限公司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浙江龙湾农村商业银行股份有限公司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浙江武义农村商业银行股份有限公司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苏银理财有限责任公司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浙江青田农村商业银行股份有限公司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浙江乐清农村商业银行股份有限公司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浙江舟山定海海洋农村商业银行股份有限公司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山西银行股份有限公司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浙江岱山农村商业银行股份有限公司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浙江余杭农村商业银行股份有限公司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浙江湖州吴兴农村商业银行股份有限公司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浙江德清农村商业银行股份有限公司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威海市商业银行股份有限公司</w:t>
            </w:r>
          </w:p>
        </w:tc>
      </w:tr>
      <w:tr>
        <w:tblPrEx>
          <w:tblCellMar>
            <w:top w:w="0" w:type="dxa"/>
            <w:left w:w="108" w:type="dxa"/>
            <w:bottom w:w="0" w:type="dxa"/>
            <w:right w:w="108" w:type="dxa"/>
          </w:tblCellMar>
        </w:tblPrEx>
        <w:trPr>
          <w:trHeight w:val="237"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single" w:color="auto" w:sz="4" w:space="0"/>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浙江萧山农村商业银行股份有限公司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浙江淳安农村商业银行股份有限公司</w:t>
            </w:r>
          </w:p>
        </w:tc>
      </w:tr>
      <w:tr>
        <w:tblPrEx>
          <w:tblCellMar>
            <w:top w:w="0" w:type="dxa"/>
            <w:left w:w="108" w:type="dxa"/>
            <w:bottom w:w="0" w:type="dxa"/>
            <w:right w:w="108" w:type="dxa"/>
          </w:tblCellMar>
        </w:tblPrEx>
        <w:trPr>
          <w:trHeight w:val="237"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浙江温州瓯海农村商业银行股份有限公司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浙江文成农村商业银行股份有限公司</w:t>
            </w:r>
          </w:p>
        </w:tc>
      </w:tr>
      <w:tr>
        <w:tblPrEx>
          <w:tblCellMar>
            <w:top w:w="0" w:type="dxa"/>
            <w:left w:w="108" w:type="dxa"/>
            <w:bottom w:w="0" w:type="dxa"/>
            <w:right w:w="108" w:type="dxa"/>
          </w:tblCellMar>
        </w:tblPrEx>
        <w:trPr>
          <w:trHeight w:val="237" w:hRule="atLeast"/>
        </w:trPr>
        <w:tc>
          <w:tcPr>
            <w:tcW w:w="846" w:type="dxa"/>
            <w:vMerge w:val="continue"/>
            <w:tcBorders>
              <w:left w:val="single" w:color="auto" w:sz="4" w:space="0"/>
              <w:bottom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single" w:color="auto" w:sz="4" w:space="0"/>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江苏泰兴农村商业银行股份有限公司</w:t>
            </w:r>
          </w:p>
        </w:tc>
        <w:tc>
          <w:tcPr>
            <w:tcW w:w="4025" w:type="dxa"/>
            <w:tcBorders>
              <w:top w:val="nil"/>
              <w:left w:val="nil"/>
              <w:bottom w:val="single" w:color="auto" w:sz="4" w:space="0"/>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浙江平湖农村商业银行股份有限公司</w:t>
            </w:r>
          </w:p>
        </w:tc>
      </w:tr>
      <w:tr>
        <w:tblPrEx>
          <w:tblCellMar>
            <w:top w:w="0" w:type="dxa"/>
            <w:left w:w="108" w:type="dxa"/>
            <w:bottom w:w="0" w:type="dxa"/>
            <w:right w:w="108" w:type="dxa"/>
          </w:tblCellMar>
        </w:tblPrEx>
        <w:trPr>
          <w:trHeight w:val="255" w:hRule="atLeast"/>
        </w:trPr>
        <w:tc>
          <w:tcPr>
            <w:tcW w:w="846" w:type="dxa"/>
            <w:vMerge w:val="restart"/>
            <w:tcBorders>
              <w:top w:val="single" w:color="auto" w:sz="4" w:space="0"/>
              <w:left w:val="single" w:color="auto" w:sz="4" w:space="0"/>
              <w:right w:val="single" w:color="auto" w:sz="4" w:space="0"/>
            </w:tcBorders>
            <w:shd w:val="clear" w:color="auto" w:fill="auto"/>
            <w:noWrap/>
            <w:vAlign w:val="center"/>
          </w:tcPr>
          <w:p>
            <w:pPr>
              <w:widowControl/>
              <w:spacing w:line="0" w:lineRule="atLeast"/>
              <w:jc w:val="center"/>
              <w:rPr>
                <w:rFonts w:ascii="楷体" w:hAnsi="楷体" w:eastAsia="楷体" w:cs="Arial"/>
                <w:kern w:val="0"/>
                <w:sz w:val="20"/>
                <w:szCs w:val="20"/>
              </w:rPr>
            </w:pPr>
            <w:bookmarkStart w:id="5" w:name="_GoBack" w:colFirst="1" w:colLast="2"/>
            <w:r>
              <w:rPr>
                <w:rFonts w:hint="eastAsia" w:ascii="楷体" w:hAnsi="楷体" w:eastAsia="楷体" w:cs="Arial"/>
                <w:kern w:val="0"/>
                <w:sz w:val="20"/>
                <w:szCs w:val="20"/>
              </w:rPr>
              <w:t>B份额</w:t>
            </w:r>
          </w:p>
        </w:tc>
        <w:tc>
          <w:tcPr>
            <w:tcW w:w="3538" w:type="dxa"/>
            <w:tcBorders>
              <w:top w:val="single" w:color="auto" w:sz="4" w:space="0"/>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北京农村商业银行股份有限公司</w:t>
            </w:r>
          </w:p>
        </w:tc>
        <w:tc>
          <w:tcPr>
            <w:tcW w:w="4025" w:type="dxa"/>
            <w:tcBorders>
              <w:top w:val="single" w:color="auto" w:sz="4" w:space="0"/>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江苏沛县农村商业银行股份有限公司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青岛银行股份有限公司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江苏紫金农村商业银行股份有限公司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江苏常熟农村商业银行股份有限公司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江苏高邮农村商业银行股份有限公司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江苏江南农村商业银行股份有限公司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江苏兴化农村商业银行股份有限公司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浙江绍兴瑞丰农村商业银行股份有限公司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江苏启东农村商业银行股份有限公司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浙江龙湾农村商业银行股份有限公司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江苏海安农村商业银行股份有限公司</w:t>
            </w:r>
          </w:p>
        </w:tc>
      </w:tr>
      <w:tr>
        <w:tblPrEx>
          <w:tblCellMar>
            <w:top w:w="0" w:type="dxa"/>
            <w:left w:w="108" w:type="dxa"/>
            <w:bottom w:w="0" w:type="dxa"/>
            <w:right w:w="108" w:type="dxa"/>
          </w:tblCellMar>
        </w:tblPrEx>
        <w:trPr>
          <w:trHeight w:val="246"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潍坊银行股份有限公司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江苏如皋农村商业银行股份有限公司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齐鲁银行股份有限公司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江苏海门农村商业银行股份有限公司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浙江乐清农村商业银行股份有限公司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莱商银行股份有限公司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山西银行股份有限公司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浙江青田农村商业银行股份有限公司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浙江新昌农村商业银行股份有限公司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浙江岱山农村商业银行股份有限公司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浙江德清农村商业银行股份有限公司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浙江永嘉农村商业银行股份有限公司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浙江温州瓯海农村商业银行股份有限公司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浙江嘉善农村商业银行股份有限公司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九江银行股份有限公司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浙江平湖农村商业银行股份有限公司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nil"/>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江苏扬州农村商业银行股份有限公司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eastAsia"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浙江海宁农村商业银行股份有限公司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single" w:color="auto" w:sz="4" w:space="0"/>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江苏靖江农村商业银行股份有限公司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浙江桐乡农村商业银行股份有限公司</w:t>
            </w:r>
          </w:p>
        </w:tc>
      </w:tr>
      <w:tr>
        <w:tblPrEx>
          <w:tblCellMar>
            <w:top w:w="0" w:type="dxa"/>
            <w:left w:w="108" w:type="dxa"/>
            <w:bottom w:w="0" w:type="dxa"/>
            <w:right w:w="108" w:type="dxa"/>
          </w:tblCellMar>
        </w:tblPrEx>
        <w:trPr>
          <w:trHeight w:val="255" w:hRule="atLeast"/>
        </w:trPr>
        <w:tc>
          <w:tcPr>
            <w:tcW w:w="846" w:type="dxa"/>
            <w:vMerge w:val="continue"/>
            <w:tcBorders>
              <w:left w:val="single" w:color="auto" w:sz="4" w:space="0"/>
              <w:right w:val="single" w:color="auto" w:sz="4" w:space="0"/>
            </w:tcBorders>
            <w:vAlign w:val="center"/>
          </w:tcPr>
          <w:p>
            <w:pPr>
              <w:widowControl/>
              <w:spacing w:line="0" w:lineRule="atLeast"/>
              <w:jc w:val="left"/>
              <w:rPr>
                <w:rFonts w:ascii="楷体" w:hAnsi="楷体" w:eastAsia="楷体" w:cs="Arial"/>
                <w:kern w:val="0"/>
                <w:sz w:val="20"/>
                <w:szCs w:val="20"/>
              </w:rPr>
            </w:pPr>
          </w:p>
        </w:tc>
        <w:tc>
          <w:tcPr>
            <w:tcW w:w="3538" w:type="dxa"/>
            <w:tcBorders>
              <w:top w:val="nil"/>
              <w:left w:val="single" w:color="auto" w:sz="4" w:space="0"/>
              <w:bottom w:val="nil"/>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徐州农村商业银行股份有限公司</w:t>
            </w:r>
          </w:p>
        </w:tc>
        <w:tc>
          <w:tcPr>
            <w:tcW w:w="4025" w:type="dxa"/>
            <w:tcBorders>
              <w:top w:val="nil"/>
              <w:left w:val="nil"/>
              <w:bottom w:val="nil"/>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浙江上虞农村商业银行股份有限公司</w:t>
            </w:r>
          </w:p>
        </w:tc>
      </w:tr>
      <w:bookmarkEnd w:id="5"/>
      <w:tr>
        <w:tblPrEx>
          <w:tblCellMar>
            <w:top w:w="0" w:type="dxa"/>
            <w:left w:w="108" w:type="dxa"/>
            <w:bottom w:w="0" w:type="dxa"/>
            <w:right w:w="108" w:type="dxa"/>
          </w:tblCellMar>
        </w:tblPrEx>
        <w:trPr>
          <w:trHeight w:val="255" w:hRule="atLeast"/>
        </w:trPr>
        <w:tc>
          <w:tcPr>
            <w:tcW w:w="84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0" w:lineRule="atLeast"/>
              <w:jc w:val="center"/>
              <w:rPr>
                <w:rFonts w:ascii="楷体" w:hAnsi="楷体" w:eastAsia="楷体" w:cs="Arial"/>
                <w:kern w:val="0"/>
                <w:sz w:val="20"/>
                <w:szCs w:val="20"/>
              </w:rPr>
            </w:pPr>
            <w:r>
              <w:rPr>
                <w:rFonts w:hint="eastAsia" w:ascii="楷体" w:hAnsi="楷体" w:eastAsia="楷体" w:cs="Arial"/>
                <w:kern w:val="0"/>
                <w:sz w:val="20"/>
                <w:szCs w:val="20"/>
              </w:rPr>
              <w:t>C份额</w:t>
            </w:r>
          </w:p>
        </w:tc>
        <w:tc>
          <w:tcPr>
            <w:tcW w:w="3538" w:type="dxa"/>
            <w:tcBorders>
              <w:top w:val="single" w:color="auto" w:sz="4" w:space="0"/>
              <w:left w:val="nil"/>
              <w:bottom w:val="single" w:color="auto" w:sz="4" w:space="0"/>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上海农村商业银行股份有限公司</w:t>
            </w:r>
          </w:p>
        </w:tc>
        <w:tc>
          <w:tcPr>
            <w:tcW w:w="4025" w:type="dxa"/>
            <w:tcBorders>
              <w:top w:val="single" w:color="auto" w:sz="4" w:space="0"/>
              <w:left w:val="nil"/>
              <w:bottom w:val="single" w:color="auto" w:sz="4" w:space="0"/>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江苏苏州农村商业银行股份有限公司</w:t>
            </w:r>
          </w:p>
        </w:tc>
      </w:tr>
      <w:tr>
        <w:tblPrEx>
          <w:tblCellMar>
            <w:top w:w="0" w:type="dxa"/>
            <w:left w:w="108" w:type="dxa"/>
            <w:bottom w:w="0" w:type="dxa"/>
            <w:right w:w="108" w:type="dxa"/>
          </w:tblCellMar>
        </w:tblPrEx>
        <w:trPr>
          <w:trHeight w:val="255" w:hRule="atLeast"/>
        </w:trPr>
        <w:tc>
          <w:tcPr>
            <w:tcW w:w="84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0" w:lineRule="atLeast"/>
              <w:jc w:val="center"/>
              <w:rPr>
                <w:rFonts w:hint="eastAsia" w:ascii="楷体" w:hAnsi="楷体" w:eastAsia="楷体" w:cs="Arial"/>
                <w:kern w:val="0"/>
                <w:sz w:val="20"/>
                <w:szCs w:val="20"/>
              </w:rPr>
            </w:pPr>
            <w:r>
              <w:rPr>
                <w:rFonts w:hint="eastAsia" w:ascii="楷体" w:hAnsi="楷体" w:eastAsia="楷体" w:cs="Arial"/>
                <w:kern w:val="0"/>
                <w:sz w:val="20"/>
                <w:szCs w:val="20"/>
                <w:lang w:val="en-US" w:eastAsia="zh-CN"/>
              </w:rPr>
              <w:t>D</w:t>
            </w:r>
            <w:r>
              <w:rPr>
                <w:rFonts w:hint="eastAsia" w:ascii="楷体" w:hAnsi="楷体" w:eastAsia="楷体" w:cs="Arial"/>
                <w:kern w:val="0"/>
                <w:sz w:val="20"/>
                <w:szCs w:val="20"/>
              </w:rPr>
              <w:t>份额</w:t>
            </w:r>
          </w:p>
        </w:tc>
        <w:tc>
          <w:tcPr>
            <w:tcW w:w="3538" w:type="dxa"/>
            <w:tcBorders>
              <w:top w:val="single" w:color="auto" w:sz="4" w:space="0"/>
              <w:left w:val="nil"/>
              <w:bottom w:val="single" w:color="auto" w:sz="4" w:space="0"/>
              <w:right w:val="nil"/>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r>
              <w:rPr>
                <w:rFonts w:hint="default" w:ascii="楷体" w:hAnsi="楷体" w:eastAsia="楷体" w:cs="Arial"/>
                <w:kern w:val="0"/>
                <w:sz w:val="18"/>
                <w:szCs w:val="18"/>
                <w:lang w:val="en-US" w:eastAsia="zh-CN"/>
              </w:rPr>
              <w:t>武汉农村商业银行股份有限公司</w:t>
            </w:r>
          </w:p>
        </w:tc>
        <w:tc>
          <w:tcPr>
            <w:tcW w:w="4025" w:type="dxa"/>
            <w:tcBorders>
              <w:top w:val="single" w:color="auto" w:sz="4" w:space="0"/>
              <w:left w:val="nil"/>
              <w:bottom w:val="single" w:color="auto" w:sz="4" w:space="0"/>
              <w:right w:val="single" w:color="auto" w:sz="4" w:space="0"/>
            </w:tcBorders>
            <w:shd w:val="clear" w:color="auto" w:fill="auto"/>
            <w:noWrap/>
            <w:vAlign w:val="bottom"/>
          </w:tcPr>
          <w:p>
            <w:pPr>
              <w:widowControl/>
              <w:spacing w:line="0" w:lineRule="atLeast"/>
              <w:jc w:val="center"/>
              <w:rPr>
                <w:rFonts w:hint="default" w:ascii="楷体" w:hAnsi="楷体" w:eastAsia="楷体" w:cs="Arial"/>
                <w:kern w:val="0"/>
                <w:sz w:val="18"/>
                <w:szCs w:val="18"/>
                <w:lang w:val="en-US" w:eastAsia="zh-CN"/>
              </w:rPr>
            </w:pPr>
          </w:p>
        </w:tc>
      </w:tr>
      <w:bookmarkEnd w:id="3"/>
    </w:tbl>
    <w:p>
      <w:pPr>
        <w:numPr>
          <w:ilvl w:val="0"/>
          <w:numId w:val="11"/>
        </w:numPr>
        <w:tabs>
          <w:tab w:val="left" w:pos="1134"/>
        </w:tabs>
        <w:ind w:firstLine="562" w:firstLineChars="200"/>
        <w:rPr>
          <w:rFonts w:ascii="楷体" w:hAnsi="楷体" w:eastAsia="楷体"/>
          <w:b/>
          <w:sz w:val="28"/>
          <w:szCs w:val="28"/>
        </w:rPr>
      </w:pPr>
      <w:r>
        <w:rPr>
          <w:rFonts w:hint="eastAsia" w:ascii="楷体" w:hAnsi="楷体" w:eastAsia="楷体"/>
          <w:b/>
          <w:sz w:val="28"/>
          <w:szCs w:val="28"/>
        </w:rPr>
        <w:t>投资合作机构</w:t>
      </w:r>
    </w:p>
    <w:p>
      <w:pPr>
        <w:ind w:firstLine="480" w:firstLineChars="200"/>
        <w:rPr>
          <w:rFonts w:ascii="楷体" w:hAnsi="楷体" w:eastAsia="楷体"/>
          <w:sz w:val="24"/>
          <w:szCs w:val="24"/>
        </w:rPr>
      </w:pPr>
      <w:r>
        <w:rPr>
          <w:rFonts w:hint="eastAsia" w:ascii="楷体" w:hAnsi="楷体" w:eastAsia="楷体"/>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2883"/>
        <w:gridCol w:w="4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b/>
                <w:bCs/>
                <w:sz w:val="20"/>
                <w:szCs w:val="20"/>
              </w:rPr>
            </w:pPr>
            <w:r>
              <w:rPr>
                <w:rFonts w:hint="eastAsia" w:ascii="楷体" w:hAnsi="楷体" w:eastAsia="楷体"/>
                <w:b/>
                <w:bCs/>
                <w:sz w:val="20"/>
                <w:szCs w:val="20"/>
              </w:rPr>
              <w:t>序号</w:t>
            </w:r>
          </w:p>
        </w:tc>
        <w:tc>
          <w:tcPr>
            <w:tcW w:w="2883" w:type="dxa"/>
          </w:tcPr>
          <w:p>
            <w:pPr>
              <w:spacing w:line="0" w:lineRule="atLeast"/>
              <w:jc w:val="center"/>
              <w:rPr>
                <w:rFonts w:ascii="楷体" w:hAnsi="楷体" w:eastAsia="楷体"/>
                <w:b/>
                <w:bCs/>
                <w:sz w:val="20"/>
                <w:szCs w:val="20"/>
              </w:rPr>
            </w:pPr>
            <w:r>
              <w:rPr>
                <w:rFonts w:hint="eastAsia" w:ascii="楷体" w:hAnsi="楷体" w:eastAsia="楷体"/>
                <w:b/>
                <w:bCs/>
                <w:sz w:val="20"/>
                <w:szCs w:val="20"/>
              </w:rPr>
              <w:t>投资合作机构</w:t>
            </w:r>
          </w:p>
        </w:tc>
        <w:tc>
          <w:tcPr>
            <w:tcW w:w="4974" w:type="dxa"/>
          </w:tcPr>
          <w:p>
            <w:pPr>
              <w:spacing w:line="0" w:lineRule="atLeast"/>
              <w:jc w:val="center"/>
              <w:rPr>
                <w:rFonts w:ascii="楷体" w:hAnsi="楷体" w:eastAsia="楷体"/>
                <w:b/>
                <w:bCs/>
                <w:sz w:val="20"/>
                <w:szCs w:val="20"/>
              </w:rPr>
            </w:pPr>
            <w:r>
              <w:rPr>
                <w:rFonts w:hint="eastAsia" w:ascii="楷体" w:hAnsi="楷体" w:eastAsia="楷体"/>
                <w:b/>
                <w:bCs/>
                <w:sz w:val="20"/>
                <w:szCs w:val="20"/>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1</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弘业期货股份有限公司</w:t>
            </w:r>
          </w:p>
        </w:tc>
        <w:tc>
          <w:tcPr>
            <w:tcW w:w="4974" w:type="dxa"/>
          </w:tcPr>
          <w:p>
            <w:pPr>
              <w:spacing w:line="0" w:lineRule="atLeast"/>
              <w:rPr>
                <w:rFonts w:ascii="楷体" w:hAnsi="楷体" w:eastAsia="楷体"/>
                <w:sz w:val="20"/>
                <w:szCs w:val="20"/>
              </w:rPr>
            </w:pPr>
            <w:r>
              <w:rPr>
                <w:rFonts w:hint="eastAsia" w:ascii="楷体" w:hAnsi="楷体" w:eastAsia="楷体"/>
                <w:sz w:val="20"/>
                <w:szCs w:val="20"/>
              </w:rPr>
              <w:t>弘业期货股份有限公司是经中国证监会批准设立的大型期货公司，总部位于江苏南京，公司在北京、上海、深圳等国内主要金融中心和重点城市设立40多家营业部和分公司。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2</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江苏省国际信托有限责任公司</w:t>
            </w:r>
          </w:p>
        </w:tc>
        <w:tc>
          <w:tcPr>
            <w:tcW w:w="4974" w:type="dxa"/>
          </w:tcPr>
          <w:p>
            <w:pPr>
              <w:spacing w:line="0" w:lineRule="atLeast"/>
              <w:rPr>
                <w:rFonts w:ascii="楷体" w:hAnsi="楷体" w:eastAsia="楷体"/>
                <w:sz w:val="20"/>
                <w:szCs w:val="20"/>
              </w:rPr>
            </w:pPr>
            <w:r>
              <w:rPr>
                <w:rFonts w:hint="eastAsia" w:ascii="楷体" w:hAnsi="楷体" w:eastAsia="楷体"/>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3</w:t>
            </w:r>
          </w:p>
        </w:tc>
        <w:tc>
          <w:tcPr>
            <w:tcW w:w="2883" w:type="dxa"/>
            <w:vAlign w:val="center"/>
          </w:tcPr>
          <w:p>
            <w:pPr>
              <w:spacing w:line="0" w:lineRule="atLeast"/>
              <w:jc w:val="center"/>
              <w:rPr>
                <w:rFonts w:ascii="楷体" w:hAnsi="楷体" w:eastAsia="楷体"/>
                <w:sz w:val="20"/>
                <w:szCs w:val="20"/>
              </w:rPr>
            </w:pPr>
            <w:r>
              <w:rPr>
                <w:rFonts w:ascii="楷体" w:hAnsi="楷体" w:eastAsia="楷体"/>
                <w:sz w:val="20"/>
                <w:szCs w:val="18"/>
              </w:rPr>
              <w:t>创金合信基金管理有限公司</w:t>
            </w:r>
          </w:p>
        </w:tc>
        <w:tc>
          <w:tcPr>
            <w:tcW w:w="4974" w:type="dxa"/>
          </w:tcPr>
          <w:p>
            <w:pPr>
              <w:spacing w:line="0" w:lineRule="atLeast"/>
              <w:rPr>
                <w:rFonts w:ascii="楷体" w:hAnsi="楷体" w:eastAsia="楷体"/>
                <w:sz w:val="20"/>
                <w:szCs w:val="20"/>
              </w:rPr>
            </w:pPr>
            <w:r>
              <w:rPr>
                <w:rFonts w:ascii="楷体" w:hAnsi="楷体" w:eastAsia="楷体"/>
                <w:sz w:val="20"/>
                <w:szCs w:val="18"/>
              </w:rPr>
              <w:t>创金合信基金管理有限公司成立于2014年7月9日，由第一创业证券股份有限公司、深圳市金合信投资合伙企业（有限合伙）共同发起设立，注册地为深圳。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4</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18"/>
              </w:rPr>
              <w:t>华鑫国际信托有限公司</w:t>
            </w:r>
          </w:p>
        </w:tc>
        <w:tc>
          <w:tcPr>
            <w:tcW w:w="4974" w:type="dxa"/>
          </w:tcPr>
          <w:p>
            <w:pPr>
              <w:spacing w:line="0" w:lineRule="atLeast"/>
              <w:rPr>
                <w:rFonts w:ascii="楷体" w:hAnsi="楷体" w:eastAsia="楷体"/>
                <w:sz w:val="20"/>
                <w:szCs w:val="20"/>
              </w:rPr>
            </w:pPr>
            <w:r>
              <w:rPr>
                <w:rFonts w:hint="eastAsia" w:ascii="楷体" w:hAnsi="楷体" w:eastAsia="楷体"/>
                <w:sz w:val="20"/>
                <w:szCs w:val="18"/>
              </w:rPr>
              <w:t>华鑫国际信托有限公司于2010年2月获得中国银行业监督管理委员会批准重新登记，并于同年3月正式挂牌开业，实际控制人为中国华电集团有限公司，注册资本73.95亿元。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5</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中国国际金融股份有限公司</w:t>
            </w:r>
          </w:p>
        </w:tc>
        <w:tc>
          <w:tcPr>
            <w:tcW w:w="4974" w:type="dxa"/>
          </w:tcPr>
          <w:p>
            <w:pPr>
              <w:spacing w:line="0" w:lineRule="atLeast"/>
              <w:rPr>
                <w:rFonts w:ascii="楷体" w:hAnsi="楷体" w:eastAsia="楷体"/>
                <w:sz w:val="20"/>
                <w:szCs w:val="20"/>
              </w:rPr>
            </w:pPr>
            <w:r>
              <w:rPr>
                <w:rFonts w:hint="eastAsia" w:ascii="楷体" w:hAnsi="楷体" w:eastAsia="楷体"/>
                <w:sz w:val="20"/>
                <w:szCs w:val="20"/>
              </w:rPr>
              <w:t>中国国际金融股份有限公司于1995年7月31日成立，实际控制人为中央汇金投资有限责任公司，注册资本4,827,256,868元。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6</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东方财富证券股份有限公司</w:t>
            </w:r>
          </w:p>
        </w:tc>
        <w:tc>
          <w:tcPr>
            <w:tcW w:w="4974" w:type="dxa"/>
          </w:tcPr>
          <w:p>
            <w:pPr>
              <w:spacing w:line="0" w:lineRule="atLeast"/>
              <w:rPr>
                <w:rFonts w:ascii="楷体" w:hAnsi="楷体" w:eastAsia="楷体"/>
                <w:sz w:val="20"/>
                <w:szCs w:val="20"/>
              </w:rPr>
            </w:pPr>
            <w:r>
              <w:rPr>
                <w:rFonts w:hint="eastAsia" w:ascii="楷体" w:hAnsi="楷体" w:eastAsia="楷体"/>
                <w:sz w:val="20"/>
                <w:szCs w:val="20"/>
              </w:rPr>
              <w:t>东方财富证券股份有限公司是东方财富信息股份有限公司旗下的持牌证券公司，总部位于上海，注册资本121亿元。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7</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南华基金管理有限公司</w:t>
            </w:r>
          </w:p>
        </w:tc>
        <w:tc>
          <w:tcPr>
            <w:tcW w:w="4974" w:type="dxa"/>
          </w:tcPr>
          <w:p>
            <w:pPr>
              <w:spacing w:line="0" w:lineRule="atLeast"/>
              <w:rPr>
                <w:rFonts w:ascii="楷体" w:hAnsi="楷体" w:eastAsia="楷体"/>
                <w:sz w:val="20"/>
                <w:szCs w:val="20"/>
              </w:rPr>
            </w:pPr>
            <w:r>
              <w:rPr>
                <w:rFonts w:hint="eastAsia" w:ascii="楷体" w:hAnsi="楷体" w:eastAsia="楷体"/>
                <w:sz w:val="20"/>
                <w:szCs w:val="20"/>
              </w:rPr>
              <w:t>南华基金管理有限公司于2016年10月17日成立，注册资本2.5亿人民币，经营范围为基金募集、基金销售、资产管理、特定客户资产管理和中国证监会许可的其他业务。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8</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广东粤财信托有限公司</w:t>
            </w:r>
          </w:p>
        </w:tc>
        <w:tc>
          <w:tcPr>
            <w:tcW w:w="4974" w:type="dxa"/>
          </w:tcPr>
          <w:p>
            <w:pPr>
              <w:spacing w:line="0" w:lineRule="atLeast"/>
              <w:rPr>
                <w:rFonts w:ascii="楷体" w:hAnsi="楷体" w:eastAsia="楷体"/>
                <w:sz w:val="20"/>
                <w:szCs w:val="20"/>
              </w:rPr>
            </w:pPr>
            <w:r>
              <w:rPr>
                <w:rFonts w:hint="eastAsia" w:ascii="楷体" w:hAnsi="楷体" w:eastAsia="楷体"/>
                <w:sz w:val="20"/>
                <w:szCs w:val="20"/>
              </w:rPr>
              <w:t>广东粤财信托有限公司成立于1985年3月7日，是中国银行保险监督管理委员会核准的国有控股金融机构，注册资本38亿元，股东为广东粤财投资控股有限公司和广东省科技创业投资有限公司。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9</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中国对外经济贸易信托有限公司</w:t>
            </w:r>
          </w:p>
        </w:tc>
        <w:tc>
          <w:tcPr>
            <w:tcW w:w="4974" w:type="dxa"/>
          </w:tcPr>
          <w:p>
            <w:pPr>
              <w:spacing w:line="0" w:lineRule="atLeast"/>
              <w:rPr>
                <w:rFonts w:ascii="楷体" w:hAnsi="楷体" w:eastAsia="楷体"/>
                <w:sz w:val="20"/>
                <w:szCs w:val="20"/>
              </w:rPr>
            </w:pPr>
            <w:r>
              <w:rPr>
                <w:rFonts w:hint="eastAsia" w:ascii="楷体" w:hAnsi="楷体" w:eastAsia="楷体"/>
                <w:sz w:val="20"/>
                <w:szCs w:val="20"/>
              </w:rPr>
              <w:t>中国对外经济贸易信托有限公司成立于1987年9月30日，是中国银行保险监督管理委员会核准的国有控股金融机构，注册资本80亿元，股东为中化资本有限公司和中化集团财务有限责任公司。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10</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中诚信托有限责任公司</w:t>
            </w:r>
          </w:p>
        </w:tc>
        <w:tc>
          <w:tcPr>
            <w:tcW w:w="4974" w:type="dxa"/>
          </w:tcPr>
          <w:p>
            <w:pPr>
              <w:spacing w:line="0" w:lineRule="atLeast"/>
              <w:rPr>
                <w:rFonts w:ascii="楷体" w:hAnsi="楷体" w:eastAsia="楷体"/>
                <w:sz w:val="20"/>
                <w:szCs w:val="20"/>
              </w:rPr>
            </w:pPr>
            <w:r>
              <w:rPr>
                <w:rFonts w:hint="eastAsia" w:ascii="楷体" w:hAnsi="楷体" w:eastAsia="楷体"/>
                <w:sz w:val="20"/>
                <w:szCs w:val="20"/>
              </w:rPr>
              <w:t>中诚信托有限责任公司成立于1995年11月20日，是中国银行保险监督管理委员会核准的国有控股金融机构，注册资本48.5亿元，前三大股东分别为中国人民保险集团股份有限公司、国华能源投资有限公司和山东能源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11</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中信信托有限责任公司</w:t>
            </w:r>
          </w:p>
        </w:tc>
        <w:tc>
          <w:tcPr>
            <w:tcW w:w="4974" w:type="dxa"/>
          </w:tcPr>
          <w:p>
            <w:pPr>
              <w:spacing w:line="0" w:lineRule="atLeast"/>
              <w:rPr>
                <w:rFonts w:ascii="楷体" w:hAnsi="楷体" w:eastAsia="楷体"/>
                <w:sz w:val="20"/>
                <w:szCs w:val="20"/>
              </w:rPr>
            </w:pPr>
            <w:r>
              <w:rPr>
                <w:rFonts w:hint="eastAsia" w:ascii="楷体" w:hAnsi="楷体" w:eastAsia="楷体"/>
                <w:sz w:val="20"/>
                <w:szCs w:val="20"/>
              </w:rPr>
              <w:t>中信信托有限责任公司成立于1988年3月5日，是中国银行保险监督管理委员会核准的国有控股金融机构，注册资本112.76亿元，股东为中国中信金融控股有限公司。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hint="eastAsia" w:ascii="楷体" w:hAnsi="楷体" w:eastAsia="楷体"/>
                <w:sz w:val="20"/>
                <w:szCs w:val="20"/>
                <w:lang w:val="en-US" w:eastAsia="zh-CN"/>
              </w:rPr>
            </w:pPr>
            <w:r>
              <w:rPr>
                <w:rFonts w:hint="eastAsia" w:ascii="楷体" w:hAnsi="楷体" w:eastAsia="楷体"/>
                <w:sz w:val="20"/>
                <w:szCs w:val="20"/>
              </w:rPr>
              <w:t>1</w:t>
            </w:r>
            <w:r>
              <w:rPr>
                <w:rFonts w:hint="eastAsia" w:ascii="楷体" w:hAnsi="楷体" w:eastAsia="楷体"/>
                <w:sz w:val="20"/>
                <w:szCs w:val="20"/>
                <w:lang w:val="en-US" w:eastAsia="zh-CN"/>
              </w:rPr>
              <w:t>2</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安徽国元信托有限责任公司</w:t>
            </w:r>
          </w:p>
        </w:tc>
        <w:tc>
          <w:tcPr>
            <w:tcW w:w="4974" w:type="dxa"/>
          </w:tcPr>
          <w:p>
            <w:pPr>
              <w:spacing w:line="0" w:lineRule="atLeast"/>
              <w:rPr>
                <w:rFonts w:ascii="楷体" w:hAnsi="楷体" w:eastAsia="楷体"/>
                <w:sz w:val="20"/>
                <w:szCs w:val="20"/>
              </w:rPr>
            </w:pPr>
            <w:r>
              <w:rPr>
                <w:rFonts w:hint="eastAsia" w:ascii="楷体" w:hAnsi="楷体" w:eastAsia="楷体"/>
                <w:sz w:val="20"/>
                <w:szCs w:val="20"/>
              </w:rPr>
              <w:t>安徽国元信托有限责任公司成立于2001年12月20日，是中国银行保险监督管理委员会核准的国有控股金融机构，注册资本42亿元，前三大股东分别为安徽国元金融控股集团有限责任公司、中建资本控股有限公司、安徽皖投资产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vAlign w:val="center"/>
          </w:tcPr>
          <w:p>
            <w:pPr>
              <w:spacing w:line="0" w:lineRule="atLeast"/>
              <w:jc w:val="center"/>
              <w:rPr>
                <w:rFonts w:hint="eastAsia" w:ascii="楷体" w:hAnsi="楷体" w:eastAsia="楷体"/>
                <w:sz w:val="20"/>
                <w:szCs w:val="20"/>
                <w:lang w:val="en-US" w:eastAsia="zh-CN"/>
              </w:rPr>
            </w:pPr>
            <w:r>
              <w:rPr>
                <w:rFonts w:hint="eastAsia" w:ascii="楷体" w:hAnsi="楷体" w:eastAsia="楷体"/>
                <w:sz w:val="20"/>
                <w:szCs w:val="20"/>
              </w:rPr>
              <w:t>1</w:t>
            </w:r>
            <w:r>
              <w:rPr>
                <w:rFonts w:hint="eastAsia" w:ascii="楷体" w:hAnsi="楷体" w:eastAsia="楷体"/>
                <w:sz w:val="20"/>
                <w:szCs w:val="20"/>
                <w:lang w:val="en-US" w:eastAsia="zh-CN"/>
              </w:rPr>
              <w:t>3</w:t>
            </w:r>
          </w:p>
        </w:tc>
        <w:tc>
          <w:tcPr>
            <w:tcW w:w="2883" w:type="dxa"/>
            <w:vAlign w:val="center"/>
          </w:tcPr>
          <w:p>
            <w:pPr>
              <w:spacing w:line="0" w:lineRule="atLeast"/>
              <w:jc w:val="center"/>
              <w:rPr>
                <w:rFonts w:ascii="楷体" w:hAnsi="楷体" w:eastAsia="楷体"/>
                <w:sz w:val="20"/>
                <w:szCs w:val="20"/>
              </w:rPr>
            </w:pPr>
            <w:r>
              <w:rPr>
                <w:rFonts w:hint="eastAsia" w:ascii="楷体" w:hAnsi="楷体" w:eastAsia="楷体"/>
                <w:sz w:val="20"/>
                <w:szCs w:val="20"/>
              </w:rPr>
              <w:t>中粮信托有限责任公司</w:t>
            </w:r>
          </w:p>
        </w:tc>
        <w:tc>
          <w:tcPr>
            <w:tcW w:w="4974" w:type="dxa"/>
          </w:tcPr>
          <w:p>
            <w:pPr>
              <w:spacing w:line="0" w:lineRule="atLeast"/>
              <w:rPr>
                <w:rFonts w:ascii="楷体" w:hAnsi="楷体" w:eastAsia="楷体"/>
                <w:sz w:val="20"/>
                <w:szCs w:val="20"/>
              </w:rPr>
            </w:pPr>
            <w:r>
              <w:rPr>
                <w:rFonts w:hint="eastAsia" w:ascii="楷体" w:hAnsi="楷体" w:eastAsia="楷体"/>
                <w:sz w:val="20"/>
                <w:szCs w:val="20"/>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bl>
    <w:p>
      <w:pPr>
        <w:ind w:firstLine="480" w:firstLineChars="200"/>
        <w:rPr>
          <w:rFonts w:ascii="楷体" w:hAnsi="楷体" w:eastAsia="楷体"/>
          <w:sz w:val="24"/>
          <w:szCs w:val="24"/>
        </w:rPr>
      </w:pPr>
      <w:r>
        <w:rPr>
          <w:rFonts w:hint="eastAsia" w:ascii="楷体" w:hAnsi="楷体" w:eastAsia="楷体"/>
          <w:sz w:val="24"/>
          <w:szCs w:val="24"/>
        </w:rPr>
        <w:t>产品存续期内合作机构如有变化，管理人将按照监管规定和内部管理制度要求对合作机构进行准入，签署相关协议后，发布新增投资合作机构公告。</w:t>
      </w:r>
    </w:p>
    <w:p>
      <w:pPr>
        <w:numPr>
          <w:ilvl w:val="0"/>
          <w:numId w:val="11"/>
        </w:numPr>
        <w:tabs>
          <w:tab w:val="left" w:pos="1134"/>
        </w:tabs>
        <w:ind w:firstLine="562" w:firstLineChars="200"/>
        <w:rPr>
          <w:rFonts w:ascii="楷体" w:hAnsi="楷体" w:eastAsia="楷体"/>
          <w:b/>
          <w:sz w:val="28"/>
          <w:szCs w:val="28"/>
        </w:rPr>
      </w:pPr>
      <w:r>
        <w:rPr>
          <w:rFonts w:hint="eastAsia" w:ascii="楷体" w:hAnsi="楷体" w:eastAsia="楷体"/>
          <w:b/>
          <w:sz w:val="28"/>
          <w:szCs w:val="28"/>
        </w:rPr>
        <w:t>名词释义</w:t>
      </w:r>
    </w:p>
    <w:p>
      <w:pPr>
        <w:ind w:firstLine="480" w:firstLineChars="200"/>
        <w:rPr>
          <w:rFonts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1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参与主体用语</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金融监管总局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1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理财产品用语</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w:t>
      </w:r>
      <w:r>
        <w:rPr>
          <w:rFonts w:ascii="楷体" w:hAnsi="楷体" w:eastAsia="楷体" w:cs="Calibri"/>
          <w:sz w:val="24"/>
          <w:szCs w:val="24"/>
        </w:rPr>
        <w:t>/</w:t>
      </w:r>
      <w:r>
        <w:rPr>
          <w:rFonts w:hint="eastAsia" w:ascii="楷体" w:hAnsi="楷体" w:eastAsia="楷体" w:cs="Calibri"/>
          <w:sz w:val="24"/>
          <w:szCs w:val="24"/>
        </w:rPr>
        <w:t>产品：指苏银理财按照约定条件和实际投资收益情况向投资者支付收益、不保证本金支付和收益水平的非保本理财产品。</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ascii="楷体" w:hAnsi="楷体" w:eastAsia="楷体" w:cs="Calibri"/>
          <w:sz w:val="24"/>
          <w:szCs w:val="24"/>
        </w:rPr>
        <w:t>/</w:t>
      </w:r>
      <w:r>
        <w:rPr>
          <w:rFonts w:hint="eastAsia" w:ascii="楷体" w:hAnsi="楷体" w:eastAsia="楷体" w:cs="Calibri"/>
          <w:sz w:val="24"/>
          <w:szCs w:val="24"/>
        </w:rPr>
        <w:t>本产品：指“苏银理财</w:t>
      </w:r>
      <w:r>
        <w:rPr>
          <w:rFonts w:hint="eastAsia" w:ascii="楷体" w:hAnsi="楷体" w:eastAsia="楷体" w:cs="Calibri"/>
          <w:sz w:val="24"/>
          <w:szCs w:val="24"/>
          <w:lang w:eastAsia="zh-CN"/>
        </w:rPr>
        <w:t>恒源封闭债权150期</w:t>
      </w:r>
      <w:r>
        <w:rPr>
          <w:rFonts w:hint="eastAsia" w:ascii="楷体" w:hAnsi="楷体" w:eastAsia="楷体" w:cs="Calibri"/>
          <w:sz w:val="24"/>
          <w:szCs w:val="24"/>
        </w:rPr>
        <w:t>”理财产品。</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理财产品登记编码：指本款理财产品在全国银行业理财信息登记系统中的编码，投资者可在中国理财网进行查询该编码。</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理财产品代码/产品代码：指本款理财产品在全国银行业理财信息登记系统中登记的内部识别码。</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理财产品份额：指投资者持有本理财产品的单位数额。投资者基于其所持有的理财产品单位数额享有理财产品利益、承担理财产品风险。</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理财产品资产净值/理财资产净值/产品资产净值：产品资产净值=产品资产总值-产品负债总值。</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产品资产总值：指产品拥有的各类有价证券、银行存款、应收款项及其他资产的价值总和。</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产品负债总值：指产品运作及融资时形成的负债价值总和，包括融资资金本息、应付各项费用（包括托管费、销售</w:t>
      </w:r>
      <w:r>
        <w:rPr>
          <w:rFonts w:ascii="楷体" w:hAnsi="楷体" w:eastAsia="楷体" w:cs="Calibri"/>
          <w:sz w:val="24"/>
          <w:szCs w:val="24"/>
        </w:rPr>
        <w:t>服务费、</w:t>
      </w:r>
      <w:r>
        <w:rPr>
          <w:rFonts w:hint="eastAsia" w:ascii="楷体" w:hAnsi="楷体" w:eastAsia="楷体" w:cs="Calibri"/>
          <w:sz w:val="24"/>
          <w:szCs w:val="24"/>
        </w:rPr>
        <w:t>投资管理费、超额业绩报酬、其他费用等）、应付税金及其他应付款项等。</w:t>
      </w:r>
    </w:p>
    <w:p>
      <w:pPr>
        <w:numPr>
          <w:ilvl w:val="0"/>
          <w:numId w:val="15"/>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理财产品份额单位净值/理财产品单位净值/单位净值：指理财产品份额的单位净值，即每1份理财产品份额以人民币计价的价格。理财产品单位净值=理财资产净值/产品总份额。投资者按该份额单位净值进行理财产品申购、赎回和终止时分配。</w:t>
      </w:r>
    </w:p>
    <w:p>
      <w:pPr>
        <w:numPr>
          <w:ilvl w:val="0"/>
          <w:numId w:val="15"/>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理财产品估值：指计算评估理财产品资产和负债以确定理财产品单位净值的过程。</w:t>
      </w:r>
    </w:p>
    <w:p>
      <w:pPr>
        <w:numPr>
          <w:ilvl w:val="0"/>
          <w:numId w:val="15"/>
        </w:numPr>
        <w:tabs>
          <w:tab w:val="left" w:pos="851"/>
        </w:tabs>
        <w:ind w:left="0" w:firstLine="482" w:firstLineChars="200"/>
        <w:rPr>
          <w:rFonts w:ascii="楷体" w:hAnsi="楷体" w:eastAsia="楷体" w:cs="Calibri"/>
          <w:b/>
          <w:sz w:val="24"/>
          <w:szCs w:val="24"/>
        </w:rPr>
      </w:pPr>
      <w:r>
        <w:rPr>
          <w:rFonts w:hint="eastAsia" w:ascii="楷体" w:hAnsi="楷体" w:eastAsia="楷体" w:cs="Calibri"/>
          <w:b/>
          <w:sz w:val="24"/>
          <w:szCs w:val="24"/>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15"/>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5"/>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15"/>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★理财产品收益/理财收益：指投资者投资理财产品获得的投资收益，该收益为其获得分配的全部理财产品利益中扣除理财产品本金的部分。</w:t>
      </w:r>
    </w:p>
    <w:p>
      <w:pPr>
        <w:numPr>
          <w:ilvl w:val="0"/>
          <w:numId w:val="15"/>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认购：指投资者根据产品说明书约定在募集期内申请购买本产品理财产品份额的行为。</w:t>
      </w:r>
    </w:p>
    <w:p>
      <w:pPr>
        <w:numPr>
          <w:ilvl w:val="0"/>
          <w:numId w:val="15"/>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投资者资金账户：指投资者开立的银行账户，理财产品投资交易的资金遵循同卡进出原则，通过银行卡A认购/申购理财产品的资金，赎回或到期资金只能划转至银行卡A。</w:t>
      </w:r>
    </w:p>
    <w:p>
      <w:pPr>
        <w:numPr>
          <w:ilvl w:val="0"/>
          <w:numId w:val="15"/>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法律法规或监管机构另有规定的，从其规定。</w:t>
      </w:r>
    </w:p>
    <w:p>
      <w:pPr>
        <w:numPr>
          <w:ilvl w:val="0"/>
          <w:numId w:val="15"/>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1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期间与日期</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工作日：指国家法定工作日。</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募集期：指理财产品成立前，理财产品管理人接受理财产品认购的时间。</w:t>
      </w:r>
    </w:p>
    <w:p>
      <w:pPr>
        <w:numPr>
          <w:ilvl w:val="0"/>
          <w:numId w:val="16"/>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rPr>
        <w:t>产品存续期：指自理财产品成立日起，至理财产品终止日的期间。</w:t>
      </w:r>
    </w:p>
    <w:p>
      <w:pPr>
        <w:numPr>
          <w:ilvl w:val="0"/>
          <w:numId w:val="1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其他</w:t>
      </w:r>
    </w:p>
    <w:p>
      <w:pPr>
        <w:numPr>
          <w:ilvl w:val="0"/>
          <w:numId w:val="1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元：指人民币元。</w:t>
      </w:r>
    </w:p>
    <w:p>
      <w:pPr>
        <w:numPr>
          <w:ilvl w:val="0"/>
          <w:numId w:val="1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1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不可抗力：指理财产品合同各方当事人所不能预见、不能避免且不能克服的客观情况，使得任何一方当事人无法及时履行理财合同的全部或部分义务，该类事件包括但不限于：</w:t>
      </w:r>
    </w:p>
    <w:p>
      <w:pPr>
        <w:numPr>
          <w:ilvl w:val="0"/>
          <w:numId w:val="18"/>
        </w:numPr>
        <w:tabs>
          <w:tab w:val="left" w:pos="728"/>
        </w:tabs>
        <w:ind w:left="420" w:leftChars="200"/>
        <w:rPr>
          <w:rFonts w:ascii="楷体" w:hAnsi="楷体" w:eastAsia="楷体" w:cs="Calibri"/>
          <w:sz w:val="24"/>
          <w:szCs w:val="24"/>
        </w:rPr>
      </w:pPr>
      <w:r>
        <w:rPr>
          <w:rFonts w:hint="eastAsia" w:ascii="楷体" w:hAnsi="楷体" w:eastAsia="楷体" w:cs="Calibri"/>
          <w:sz w:val="24"/>
          <w:szCs w:val="24"/>
        </w:rPr>
        <w:t>地震、海啸、台风、洪水、火灾、停电、严重传染病等；</w:t>
      </w:r>
    </w:p>
    <w:p>
      <w:pPr>
        <w:numPr>
          <w:ilvl w:val="0"/>
          <w:numId w:val="18"/>
        </w:numPr>
        <w:tabs>
          <w:tab w:val="left" w:pos="728"/>
        </w:tabs>
        <w:ind w:left="420" w:leftChars="200"/>
        <w:rPr>
          <w:rFonts w:ascii="楷体" w:hAnsi="楷体" w:eastAsia="楷体" w:cs="Calibri"/>
          <w:sz w:val="24"/>
          <w:szCs w:val="24"/>
        </w:rPr>
      </w:pPr>
      <w:r>
        <w:rPr>
          <w:rFonts w:hint="eastAsia" w:ascii="楷体" w:hAnsi="楷体" w:eastAsia="楷体" w:cs="Calibri"/>
          <w:sz w:val="24"/>
          <w:szCs w:val="24"/>
        </w:rPr>
        <w:t>战争、政变、恐怖主义、骚乱、罢工等；</w:t>
      </w:r>
    </w:p>
    <w:p>
      <w:pPr>
        <w:tabs>
          <w:tab w:val="left" w:pos="728"/>
        </w:tabs>
        <w:ind w:firstLine="408" w:firstLineChars="170"/>
        <w:rPr>
          <w:rFonts w:ascii="楷体" w:hAnsi="楷体" w:eastAsia="楷体" w:cs="Calibri"/>
          <w:sz w:val="24"/>
          <w:szCs w:val="24"/>
        </w:rPr>
      </w:pPr>
      <w:r>
        <w:rPr>
          <w:rFonts w:hint="eastAsia" w:ascii="楷体" w:hAnsi="楷体" w:eastAsia="楷体" w:cs="Calibri"/>
          <w:sz w:val="24"/>
          <w:szCs w:val="24"/>
        </w:rPr>
        <w:t>（3）新的法律法规、国家政策颁布实施导致原适用的法律法规、国家政策失效；</w:t>
      </w:r>
    </w:p>
    <w:p>
      <w:pPr>
        <w:tabs>
          <w:tab w:val="left" w:pos="728"/>
        </w:tabs>
        <w:ind w:firstLine="408" w:firstLineChars="170"/>
        <w:rPr>
          <w:rFonts w:ascii="楷体" w:hAnsi="楷体" w:eastAsia="楷体" w:cs="Calibri"/>
          <w:sz w:val="24"/>
          <w:szCs w:val="24"/>
        </w:rPr>
      </w:pPr>
      <w:r>
        <w:rPr>
          <w:rFonts w:hint="eastAsia" w:ascii="楷体" w:hAnsi="楷体" w:eastAsia="楷体" w:cs="Calibri"/>
          <w:sz w:val="24"/>
          <w:szCs w:val="24"/>
        </w:rPr>
        <w:t>（4）因不可归咎于理财产品合同当事人的事由，金融监管机构强制要求终止该理财产品；</w:t>
      </w:r>
    </w:p>
    <w:p>
      <w:pPr>
        <w:tabs>
          <w:tab w:val="left" w:pos="728"/>
        </w:tabs>
        <w:ind w:firstLine="408" w:firstLineChars="170"/>
        <w:rPr>
          <w:rFonts w:ascii="楷体" w:hAnsi="楷体" w:eastAsia="楷体" w:cs="Calibri"/>
          <w:sz w:val="24"/>
          <w:szCs w:val="24"/>
        </w:rPr>
      </w:pPr>
      <w:r>
        <w:rPr>
          <w:rFonts w:hint="eastAsia" w:ascii="楷体" w:hAnsi="楷体" w:eastAsia="楷体" w:cs="Calibri"/>
          <w:sz w:val="24"/>
          <w:szCs w:val="24"/>
        </w:rPr>
        <w:t>（5）网络系统遭受攻击、电信部门技术调整或故障等原因导致的服务中断和延迟等。</w:t>
      </w:r>
    </w:p>
    <w:p>
      <w:pPr>
        <w:numPr>
          <w:ilvl w:val="0"/>
          <w:numId w:val="11"/>
        </w:numPr>
        <w:tabs>
          <w:tab w:val="left" w:pos="1134"/>
        </w:tabs>
        <w:ind w:firstLine="562" w:firstLineChars="200"/>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★★二级，适合中低风险型投资者，适合投资策略为稳健发展的投资者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ascii="楷体" w:hAnsi="楷体" w:eastAsia="楷体"/>
          <w:sz w:val="24"/>
          <w:szCs w:val="24"/>
        </w:rPr>
      </w:pPr>
      <w:r>
        <w:rPr>
          <w:rFonts w:hint="eastAsia" w:ascii="楷体" w:hAnsi="楷体" w:eastAsia="楷体"/>
          <w:sz w:val="24"/>
          <w:szCs w:val="24"/>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u w:val="single"/>
        </w:rPr>
        <w:t>如本产品通过代理销售机构渠道销售，</w:t>
      </w:r>
      <w:r>
        <w:rPr>
          <w:rFonts w:hint="eastAsia" w:ascii="楷体" w:hAnsi="楷体" w:eastAsia="楷体"/>
          <w:b/>
          <w:sz w:val="24"/>
          <w:szCs w:val="24"/>
          <w:u w:val="single"/>
        </w:rPr>
        <w:t>理财产品评级以代理销售机构最终披露的评级结果为准。</w:t>
      </w:r>
    </w:p>
    <w:p>
      <w:pPr>
        <w:ind w:firstLine="480" w:firstLineChars="200"/>
        <w:rPr>
          <w:rFonts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低风险型</w:t>
            </w:r>
          </w:p>
        </w:tc>
        <w:tc>
          <w:tcPr>
            <w:tcW w:w="2084" w:type="dxa"/>
            <w:tcBorders>
              <w:bottom w:val="single" w:color="auto" w:sz="4" w:space="0"/>
            </w:tcBorders>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11"/>
        </w:numPr>
        <w:tabs>
          <w:tab w:val="left" w:pos="1134"/>
        </w:tabs>
        <w:ind w:firstLine="562" w:firstLineChars="200"/>
        <w:rPr>
          <w:rFonts w:ascii="楷体" w:hAnsi="楷体" w:eastAsia="楷体"/>
          <w:b/>
          <w:sz w:val="28"/>
          <w:szCs w:val="28"/>
        </w:rPr>
      </w:pPr>
      <w:r>
        <w:rPr>
          <w:rFonts w:hint="eastAsia" w:ascii="楷体" w:hAnsi="楷体" w:eastAsia="楷体"/>
          <w:b/>
          <w:sz w:val="28"/>
          <w:szCs w:val="28"/>
        </w:rPr>
        <w:t>投资管理</w:t>
      </w:r>
    </w:p>
    <w:p>
      <w:pPr>
        <w:numPr>
          <w:ilvl w:val="0"/>
          <w:numId w:val="19"/>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投资范围和比例</w:t>
      </w:r>
    </w:p>
    <w:p>
      <w:pPr>
        <w:ind w:firstLine="480" w:firstLineChars="200"/>
        <w:rPr>
          <w:rFonts w:ascii="楷体" w:hAnsi="楷体" w:eastAsia="楷体"/>
          <w:sz w:val="24"/>
          <w:szCs w:val="24"/>
        </w:rPr>
      </w:pPr>
      <w:bookmarkStart w:id="4" w:name="_Hlk170312843"/>
      <w:r>
        <w:rPr>
          <w:rFonts w:hint="eastAsia" w:ascii="楷体" w:hAnsi="楷体" w:eastAsia="楷体"/>
          <w:sz w:val="24"/>
          <w:szCs w:val="24"/>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符合监管要求的其他资产占产品资产总值比例0%-20%。</w:t>
      </w:r>
      <w:bookmarkEnd w:id="4"/>
    </w:p>
    <w:p>
      <w:pPr>
        <w:ind w:firstLine="480" w:firstLineChars="200"/>
        <w:rPr>
          <w:rFonts w:ascii="楷体" w:hAnsi="楷体" w:eastAsia="楷体"/>
          <w:bCs/>
          <w:sz w:val="24"/>
          <w:szCs w:val="24"/>
        </w:rPr>
      </w:pPr>
      <w:r>
        <w:rPr>
          <w:rFonts w:hint="eastAsia" w:ascii="楷体" w:hAnsi="楷体" w:eastAsia="楷体"/>
          <w:bCs/>
          <w:sz w:val="24"/>
          <w:szCs w:val="24"/>
        </w:rPr>
        <w:t>本产品计划配置以下</w:t>
      </w:r>
      <w:r>
        <w:rPr>
          <w:rFonts w:ascii="楷体" w:hAnsi="楷体" w:eastAsia="楷体"/>
          <w:bCs/>
          <w:sz w:val="24"/>
          <w:szCs w:val="24"/>
        </w:rPr>
        <w:t>备选</w:t>
      </w:r>
      <w:r>
        <w:rPr>
          <w:rFonts w:hint="eastAsia" w:ascii="楷体" w:hAnsi="楷体" w:eastAsia="楷体"/>
          <w:bCs/>
          <w:sz w:val="24"/>
          <w:szCs w:val="24"/>
        </w:rPr>
        <w:t>非标准化债权类资产：</w:t>
      </w:r>
    </w:p>
    <w:p>
      <w:pPr>
        <w:numPr>
          <w:ilvl w:val="0"/>
          <w:numId w:val="20"/>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信托贷款：资产类型为信托公司设立的资金信托计划，底层资产为蚂蚁及信托公司双重审核、信托公司自主风控后发放的“花呗”消费授信付款资产，资产实际到期日不超过理财产品到期日。</w:t>
      </w:r>
    </w:p>
    <w:p>
      <w:pPr>
        <w:numPr>
          <w:ilvl w:val="0"/>
          <w:numId w:val="20"/>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信托贷款：资产类型为信托公司设立的资金信托计划，底层资产为抖音及信托公司双重审核、信托公司自主风控后发放的“月付”消费授信付款资产，资产实际到期日不超过理财产品到期日。</w:t>
      </w:r>
    </w:p>
    <w:p>
      <w:pPr>
        <w:numPr>
          <w:ilvl w:val="0"/>
          <w:numId w:val="20"/>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信托贷款：资产类型为信托公司设立的资金信托计划，底层资产为抖音及信托公司双重审核、信托公司自主风控后发放的“放心借”贷款资产，资产实际到期日不超过理财产品到期日。</w:t>
      </w:r>
    </w:p>
    <w:p>
      <w:pPr>
        <w:numPr>
          <w:ilvl w:val="0"/>
          <w:numId w:val="20"/>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信托贷款：资产类型为信托公司设立的资金信托计划，底层资产为度小满及信托公司双重审核、信托公司自主风控后发放的“满易贷”个人消费贷款债权，资产实际到期日不超过理财产品到期日。</w:t>
      </w:r>
    </w:p>
    <w:p>
      <w:pPr>
        <w:numPr>
          <w:ilvl w:val="0"/>
          <w:numId w:val="20"/>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信托贷款：资产类型为信托公司设立的资金信托计划，底层资产为微信及信托公司双重审核、信托公司自主风控后发放的“分付”消费授信付款资产，资产实际到期日不超过理财产品到期日。</w:t>
      </w:r>
    </w:p>
    <w:p>
      <w:pPr>
        <w:numPr>
          <w:ilvl w:val="0"/>
          <w:numId w:val="20"/>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信托贷款：资产类型为信托公司设立的资金信托计划，底层资产为蚂蚁及信托公司双重审核、信托公司自主风控后发放的“借呗”消费贷款资产，资产实际到期日不超过理财产品到期日。</w:t>
      </w:r>
    </w:p>
    <w:p>
      <w:pPr>
        <w:numPr>
          <w:ilvl w:val="0"/>
          <w:numId w:val="20"/>
        </w:numPr>
        <w:ind w:firstLine="480" w:firstLineChars="200"/>
        <w:rPr>
          <w:rFonts w:hint="eastAsia" w:ascii="楷体" w:hAnsi="楷体" w:eastAsia="楷体" w:cs="楷体"/>
          <w:kern w:val="2"/>
          <w:sz w:val="24"/>
          <w:szCs w:val="24"/>
          <w:highlight w:val="none"/>
          <w:lang w:val="en-US" w:eastAsia="zh-CN" w:bidi="ar-SA"/>
        </w:rPr>
      </w:pPr>
      <w:r>
        <w:rPr>
          <w:rFonts w:hint="eastAsia" w:ascii="楷体" w:hAnsi="楷体" w:eastAsia="楷体" w:cs="楷体"/>
          <w:kern w:val="2"/>
          <w:sz w:val="24"/>
          <w:szCs w:val="24"/>
          <w:highlight w:val="none"/>
          <w:lang w:val="en-US" w:eastAsia="zh-CN" w:bidi="ar-SA"/>
        </w:rPr>
        <w:t>信托贷款：资产类型为信托公司设立的资金信托计划，底层资产为京东及信托公司双重审核、信托公司自主风控后发放的“白条”个人消费贷款债权，资产实际到期日不超过理财产品到期日。</w:t>
      </w:r>
    </w:p>
    <w:p>
      <w:pPr>
        <w:numPr>
          <w:ilvl w:val="0"/>
          <w:numId w:val="20"/>
        </w:numPr>
        <w:ind w:firstLine="480" w:firstLineChars="200"/>
        <w:rPr>
          <w:rFonts w:ascii="楷体" w:hAnsi="楷体" w:eastAsia="楷体" w:cs="楷体"/>
          <w:sz w:val="24"/>
          <w:szCs w:val="24"/>
        </w:rPr>
      </w:pPr>
      <w:r>
        <w:rPr>
          <w:rFonts w:hint="default" w:ascii="楷体" w:hAnsi="楷体" w:eastAsia="楷体" w:cs="楷体"/>
          <w:kern w:val="2"/>
          <w:sz w:val="24"/>
          <w:szCs w:val="24"/>
          <w:highlight w:val="none"/>
          <w:lang w:val="en-US" w:eastAsia="zh-CN" w:bidi="ar-SA"/>
        </w:rPr>
        <w:t>信托贷款：资产类型为信托公司设立的资金信托计划，底层资产为京东及信托公司双重审核、信托公司自主风控后发放的“金条”个人消费贷款债权，</w:t>
      </w:r>
      <w:r>
        <w:rPr>
          <w:rFonts w:hint="eastAsia" w:ascii="楷体" w:hAnsi="楷体" w:eastAsia="楷体" w:cs="楷体"/>
          <w:kern w:val="2"/>
          <w:sz w:val="24"/>
          <w:szCs w:val="24"/>
          <w:highlight w:val="none"/>
          <w:lang w:val="en-US" w:eastAsia="zh-CN" w:bidi="ar-SA"/>
        </w:rPr>
        <w:t>资产实际到期日不超过理财产品到期日</w:t>
      </w:r>
      <w:r>
        <w:rPr>
          <w:rFonts w:hint="default" w:ascii="楷体" w:hAnsi="楷体" w:eastAsia="楷体" w:cs="楷体"/>
          <w:kern w:val="2"/>
          <w:sz w:val="24"/>
          <w:szCs w:val="24"/>
          <w:highlight w:val="none"/>
          <w:lang w:val="en-US" w:eastAsia="zh-CN" w:bidi="ar-SA"/>
        </w:rPr>
        <w:t>。</w:t>
      </w:r>
    </w:p>
    <w:p>
      <w:pPr>
        <w:ind w:firstLine="480" w:firstLineChars="200"/>
        <w:rPr>
          <w:rFonts w:ascii="楷体" w:hAnsi="楷体" w:eastAsia="楷体"/>
          <w:sz w:val="24"/>
          <w:szCs w:val="24"/>
        </w:rPr>
      </w:pPr>
      <w:r>
        <w:rPr>
          <w:rFonts w:hint="eastAsia" w:ascii="楷体" w:hAnsi="楷体" w:eastAsia="楷体"/>
          <w:sz w:val="24"/>
          <w:szCs w:val="24"/>
        </w:rPr>
        <w:t>因产品实际募集规模和融资人资金需求存在不确定性，产品管理人将选择上述一笔或者多笔作为本理财产品投资的非标准化债权类资产（具体以实际投资为准），并在本理财产品的定期报告中进行信息披露。</w:t>
      </w:r>
    </w:p>
    <w:p>
      <w:pPr>
        <w:ind w:firstLine="480" w:firstLineChars="200"/>
        <w:rPr>
          <w:rFonts w:ascii="楷体" w:hAnsi="楷体" w:eastAsia="楷体"/>
          <w:sz w:val="24"/>
          <w:szCs w:val="24"/>
        </w:rPr>
      </w:pPr>
      <w:r>
        <w:rPr>
          <w:rFonts w:hint="eastAsia" w:ascii="楷体" w:hAnsi="楷体" w:eastAsia="楷体"/>
          <w:sz w:val="24"/>
          <w:szCs w:val="24"/>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9"/>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投资集中度限制</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本产品持有单只证券或者单只公募证券投资基金的市值不得超过产品净资产的</w:t>
      </w:r>
      <w:r>
        <w:rPr>
          <w:rFonts w:ascii="楷体" w:hAnsi="楷体" w:eastAsia="楷体" w:cs="Calibri"/>
          <w:sz w:val="24"/>
          <w:szCs w:val="24"/>
        </w:rPr>
        <w:t>10%</w:t>
      </w:r>
      <w:r>
        <w:rPr>
          <w:rFonts w:hint="eastAsia" w:ascii="楷体" w:hAnsi="楷体" w:eastAsia="楷体" w:cs="Calibri"/>
          <w:sz w:val="24"/>
          <w:szCs w:val="24"/>
        </w:rPr>
        <w:t>。</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管理人全部公募产品持有单只证券或单只公募证券投资基金的市值，不得超过该证券市值或该公募证券投资基金市值的</w:t>
      </w:r>
      <w:r>
        <w:rPr>
          <w:rFonts w:ascii="楷体" w:hAnsi="楷体" w:eastAsia="楷体" w:cs="Calibri"/>
          <w:sz w:val="24"/>
          <w:szCs w:val="24"/>
        </w:rPr>
        <w:t>30%</w:t>
      </w:r>
      <w:r>
        <w:rPr>
          <w:rFonts w:hint="eastAsia" w:ascii="楷体" w:hAnsi="楷体" w:eastAsia="楷体" w:cs="Calibri"/>
          <w:sz w:val="24"/>
          <w:szCs w:val="24"/>
        </w:rPr>
        <w:t>。</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管理人全部产品持有单一上市公司发行的股票，不得超过该上市公司可流通股票的30%。</w:t>
      </w:r>
    </w:p>
    <w:p>
      <w:pPr>
        <w:ind w:firstLine="480" w:firstLineChars="200"/>
        <w:rPr>
          <w:rFonts w:ascii="楷体" w:hAnsi="楷体" w:eastAsia="楷体"/>
          <w:sz w:val="24"/>
          <w:szCs w:val="24"/>
        </w:rPr>
      </w:pPr>
      <w:r>
        <w:rPr>
          <w:rFonts w:hint="eastAsia" w:ascii="楷体" w:hAnsi="楷体" w:eastAsia="楷体"/>
          <w:sz w:val="24"/>
          <w:szCs w:val="24"/>
        </w:rPr>
        <w:t>金融监督管理部门另有规定的除外。</w:t>
      </w:r>
    </w:p>
    <w:p>
      <w:pPr>
        <w:ind w:firstLine="480" w:firstLineChars="200"/>
        <w:rPr>
          <w:rFonts w:ascii="楷体" w:hAnsi="楷体" w:eastAsia="楷体"/>
          <w:sz w:val="24"/>
          <w:szCs w:val="24"/>
        </w:rPr>
      </w:pPr>
      <w:r>
        <w:rPr>
          <w:rFonts w:hint="eastAsia" w:ascii="楷体" w:hAnsi="楷体" w:eastAsia="楷体"/>
          <w:sz w:val="24"/>
          <w:szCs w:val="24"/>
        </w:rPr>
        <w:t>非因管理人主观因素导致突破上述比例限制的，产品管理人在流动性受限资产可出售、可转让或者恢复交易的</w:t>
      </w:r>
      <w:r>
        <w:rPr>
          <w:rFonts w:ascii="楷体" w:hAnsi="楷体" w:eastAsia="楷体"/>
          <w:sz w:val="24"/>
          <w:szCs w:val="24"/>
        </w:rPr>
        <w:t>1</w:t>
      </w:r>
      <w:r>
        <w:rPr>
          <w:rFonts w:hint="eastAsia" w:ascii="楷体" w:hAnsi="楷体" w:eastAsia="楷体"/>
          <w:sz w:val="24"/>
          <w:szCs w:val="24"/>
        </w:rPr>
        <w:t>0个交易日内调整至符合要求。</w:t>
      </w:r>
    </w:p>
    <w:p>
      <w:pPr>
        <w:numPr>
          <w:ilvl w:val="0"/>
          <w:numId w:val="19"/>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杠杆水平限制</w:t>
      </w:r>
    </w:p>
    <w:p>
      <w:pPr>
        <w:ind w:firstLine="480" w:firstLineChars="200"/>
        <w:rPr>
          <w:rFonts w:ascii="楷体" w:hAnsi="楷体" w:eastAsia="楷体"/>
          <w:sz w:val="24"/>
          <w:szCs w:val="24"/>
        </w:rPr>
      </w:pPr>
      <w:r>
        <w:rPr>
          <w:rFonts w:hint="eastAsia" w:ascii="楷体" w:hAnsi="楷体" w:eastAsia="楷体"/>
          <w:sz w:val="24"/>
          <w:szCs w:val="24"/>
        </w:rPr>
        <w:t>本理财产品资产总值/理财产品资产净值不超过</w:t>
      </w:r>
      <w:r>
        <w:rPr>
          <w:rFonts w:ascii="楷体" w:hAnsi="楷体" w:eastAsia="楷体"/>
          <w:sz w:val="24"/>
          <w:szCs w:val="24"/>
        </w:rPr>
        <w:t>15</w:t>
      </w:r>
      <w:r>
        <w:rPr>
          <w:rFonts w:hint="eastAsia" w:ascii="楷体" w:hAnsi="楷体" w:eastAsia="楷体"/>
          <w:sz w:val="24"/>
          <w:szCs w:val="24"/>
        </w:rPr>
        <w:t>0%（如监管有最新规定的参照监管规定调整）。</w:t>
      </w:r>
    </w:p>
    <w:p>
      <w:pPr>
        <w:numPr>
          <w:ilvl w:val="0"/>
          <w:numId w:val="19"/>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1"/>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产品认购</w:t>
      </w:r>
    </w:p>
    <w:p>
      <w:pPr>
        <w:numPr>
          <w:ilvl w:val="0"/>
          <w:numId w:val="2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认购期间：202</w:t>
      </w:r>
      <w:r>
        <w:rPr>
          <w:rFonts w:hint="eastAsia" w:ascii="楷体" w:hAnsi="楷体" w:eastAsia="楷体" w:cs="Calibri"/>
          <w:sz w:val="24"/>
          <w:szCs w:val="24"/>
          <w:lang w:val="en-US" w:eastAsia="zh-CN"/>
        </w:rPr>
        <w:t>5</w:t>
      </w:r>
      <w:r>
        <w:rPr>
          <w:rFonts w:hint="eastAsia" w:ascii="楷体" w:hAnsi="楷体" w:eastAsia="楷体" w:cs="Calibri"/>
          <w:sz w:val="24"/>
          <w:szCs w:val="24"/>
        </w:rPr>
        <w:t>年</w:t>
      </w:r>
      <w:r>
        <w:rPr>
          <w:rFonts w:hint="eastAsia" w:ascii="楷体" w:hAnsi="楷体" w:eastAsia="楷体" w:cs="Calibri"/>
          <w:sz w:val="24"/>
          <w:szCs w:val="24"/>
          <w:lang w:val="en-US" w:eastAsia="zh-CN"/>
        </w:rPr>
        <w:t>1</w:t>
      </w:r>
      <w:r>
        <w:rPr>
          <w:rFonts w:hint="eastAsia" w:ascii="楷体" w:hAnsi="楷体" w:eastAsia="楷体" w:cs="Calibri"/>
          <w:sz w:val="24"/>
          <w:szCs w:val="24"/>
        </w:rPr>
        <w:t>月</w:t>
      </w:r>
      <w:r>
        <w:rPr>
          <w:rFonts w:hint="eastAsia" w:ascii="楷体" w:hAnsi="楷体" w:eastAsia="楷体" w:cs="Calibri"/>
          <w:sz w:val="24"/>
          <w:szCs w:val="24"/>
          <w:lang w:val="en-US" w:eastAsia="zh-CN"/>
        </w:rPr>
        <w:t>7</w:t>
      </w:r>
      <w:r>
        <w:rPr>
          <w:rFonts w:hint="eastAsia" w:ascii="楷体" w:hAnsi="楷体" w:eastAsia="楷体" w:cs="Calibri"/>
          <w:sz w:val="24"/>
          <w:szCs w:val="24"/>
        </w:rPr>
        <w:t>日9:00至202</w:t>
      </w:r>
      <w:r>
        <w:rPr>
          <w:rFonts w:hint="eastAsia" w:ascii="楷体" w:hAnsi="楷体" w:eastAsia="楷体" w:cs="Calibri"/>
          <w:sz w:val="24"/>
          <w:szCs w:val="24"/>
          <w:lang w:val="en-US" w:eastAsia="zh-CN"/>
        </w:rPr>
        <w:t>5</w:t>
      </w:r>
      <w:r>
        <w:rPr>
          <w:rFonts w:hint="eastAsia" w:ascii="楷体" w:hAnsi="楷体" w:eastAsia="楷体" w:cs="Calibri"/>
          <w:sz w:val="24"/>
          <w:szCs w:val="24"/>
        </w:rPr>
        <w:t>年</w:t>
      </w:r>
      <w:r>
        <w:rPr>
          <w:rFonts w:hint="eastAsia" w:ascii="楷体" w:hAnsi="楷体" w:eastAsia="楷体" w:cs="Calibri"/>
          <w:sz w:val="24"/>
          <w:szCs w:val="24"/>
          <w:lang w:val="en-US" w:eastAsia="zh-CN"/>
        </w:rPr>
        <w:t>1</w:t>
      </w:r>
      <w:r>
        <w:rPr>
          <w:rFonts w:hint="eastAsia" w:ascii="楷体" w:hAnsi="楷体" w:eastAsia="楷体" w:cs="Calibri"/>
          <w:sz w:val="24"/>
          <w:szCs w:val="24"/>
        </w:rPr>
        <w:t>月</w:t>
      </w:r>
      <w:r>
        <w:rPr>
          <w:rFonts w:hint="eastAsia" w:ascii="楷体" w:hAnsi="楷体" w:eastAsia="楷体" w:cs="Calibri"/>
          <w:sz w:val="24"/>
          <w:szCs w:val="24"/>
          <w:lang w:val="en-US" w:eastAsia="zh-CN"/>
        </w:rPr>
        <w:t>13</w:t>
      </w:r>
      <w:r>
        <w:rPr>
          <w:rFonts w:hint="eastAsia" w:ascii="楷体" w:hAnsi="楷体" w:eastAsia="楷体" w:cs="Calibri"/>
          <w:sz w:val="24"/>
          <w:szCs w:val="24"/>
        </w:rPr>
        <w:t>日17:00。</w:t>
      </w:r>
    </w:p>
    <w:p>
      <w:pPr>
        <w:numPr>
          <w:ilvl w:val="0"/>
          <w:numId w:val="2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2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2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本理财产品投资者单笔认购起点金额为1元，追加金额为1元的整数倍。</w:t>
      </w:r>
    </w:p>
    <w:p>
      <w:pPr>
        <w:numPr>
          <w:ilvl w:val="0"/>
          <w:numId w:val="2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认购申请撤销时间：认购期间，投资者可于202</w:t>
      </w:r>
      <w:r>
        <w:rPr>
          <w:rFonts w:hint="eastAsia" w:ascii="楷体" w:hAnsi="楷体" w:eastAsia="楷体" w:cs="Calibri"/>
          <w:sz w:val="24"/>
          <w:szCs w:val="24"/>
          <w:lang w:val="en-US" w:eastAsia="zh-CN"/>
        </w:rPr>
        <w:t>5</w:t>
      </w:r>
      <w:r>
        <w:rPr>
          <w:rFonts w:hint="eastAsia" w:ascii="楷体" w:hAnsi="楷体" w:eastAsia="楷体" w:cs="Calibri"/>
          <w:sz w:val="24"/>
          <w:szCs w:val="24"/>
        </w:rPr>
        <w:t>年</w:t>
      </w:r>
      <w:r>
        <w:rPr>
          <w:rFonts w:hint="eastAsia" w:ascii="楷体" w:hAnsi="楷体" w:eastAsia="楷体" w:cs="Calibri"/>
          <w:sz w:val="24"/>
          <w:szCs w:val="24"/>
          <w:lang w:val="en-US" w:eastAsia="zh-CN"/>
        </w:rPr>
        <w:t>1</w:t>
      </w:r>
      <w:r>
        <w:rPr>
          <w:rFonts w:hint="eastAsia" w:ascii="楷体" w:hAnsi="楷体" w:eastAsia="楷体" w:cs="Calibri"/>
          <w:sz w:val="24"/>
          <w:szCs w:val="24"/>
        </w:rPr>
        <w:t>月</w:t>
      </w:r>
      <w:r>
        <w:rPr>
          <w:rFonts w:hint="eastAsia" w:ascii="楷体" w:hAnsi="楷体" w:eastAsia="楷体" w:cs="Calibri"/>
          <w:sz w:val="24"/>
          <w:szCs w:val="24"/>
          <w:lang w:val="en-US" w:eastAsia="zh-CN"/>
        </w:rPr>
        <w:t>13</w:t>
      </w:r>
      <w:r>
        <w:rPr>
          <w:rFonts w:hint="eastAsia" w:ascii="楷体" w:hAnsi="楷体" w:eastAsia="楷体" w:cs="Calibri"/>
          <w:sz w:val="24"/>
          <w:szCs w:val="24"/>
        </w:rPr>
        <w:t>日17:00前撤销认购申请，该时点后不得撤销。</w:t>
      </w:r>
      <w:r>
        <w:rPr>
          <w:rFonts w:hint="eastAsia" w:ascii="楷体" w:hAnsi="楷体" w:eastAsia="楷体" w:cs="Calibri"/>
          <w:b/>
          <w:sz w:val="24"/>
          <w:szCs w:val="24"/>
          <w:u w:val="single"/>
        </w:rPr>
        <w:t>本产品运行期间，不开放申购、赎回。</w:t>
      </w:r>
    </w:p>
    <w:p>
      <w:pPr>
        <w:numPr>
          <w:ilvl w:val="0"/>
          <w:numId w:val="22"/>
        </w:numPr>
        <w:tabs>
          <w:tab w:val="left" w:pos="993"/>
          <w:tab w:val="left" w:pos="6259"/>
        </w:tabs>
        <w:ind w:left="0" w:firstLine="480" w:firstLineChars="200"/>
        <w:rPr>
          <w:rFonts w:ascii="楷体" w:hAnsi="楷体" w:eastAsia="楷体" w:cs="Calibri"/>
          <w:sz w:val="24"/>
          <w:szCs w:val="24"/>
        </w:rPr>
      </w:pPr>
      <w:r>
        <w:rPr>
          <w:rFonts w:hint="eastAsia" w:ascii="楷体" w:hAnsi="楷体" w:eastAsia="楷体" w:cs="Calibri"/>
          <w:sz w:val="24"/>
          <w:szCs w:val="24"/>
        </w:rPr>
        <w:t>认购资金的清算</w:t>
      </w:r>
      <w:r>
        <w:rPr>
          <w:rFonts w:hint="eastAsia" w:ascii="楷体" w:hAnsi="楷体" w:eastAsia="楷体" w:cs="Calibri"/>
          <w:sz w:val="24"/>
          <w:szCs w:val="24"/>
          <w:lang w:eastAsia="zh-CN"/>
        </w:rPr>
        <w:tab/>
      </w:r>
    </w:p>
    <w:p>
      <w:pPr>
        <w:ind w:firstLine="480" w:firstLineChars="200"/>
        <w:rPr>
          <w:rFonts w:ascii="楷体" w:hAnsi="楷体" w:eastAsia="楷体"/>
          <w:sz w:val="24"/>
          <w:szCs w:val="24"/>
        </w:rPr>
      </w:pPr>
      <w:r>
        <w:rPr>
          <w:rFonts w:hint="eastAsia" w:ascii="楷体" w:hAnsi="楷体" w:eastAsia="楷体"/>
          <w:sz w:val="24"/>
          <w:szCs w:val="24"/>
        </w:rPr>
        <w:t>投资者提出认购申请时，须备足购买资金。如投资者通过代销渠道购买，管理人在份额确认日通知销售机构扣划投资者认购资金，投资者应在扣款前保证资金账户中拥有足够可用余额；如投资者通过苏银理财直营渠道购买，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2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认购份额登记日：本理财产品于202</w:t>
      </w:r>
      <w:r>
        <w:rPr>
          <w:rFonts w:hint="eastAsia" w:ascii="楷体" w:hAnsi="楷体" w:eastAsia="楷体" w:cs="Calibri"/>
          <w:sz w:val="24"/>
          <w:szCs w:val="24"/>
          <w:lang w:val="en-US" w:eastAsia="zh-CN"/>
        </w:rPr>
        <w:t>5</w:t>
      </w:r>
      <w:r>
        <w:rPr>
          <w:rFonts w:hint="eastAsia" w:ascii="楷体" w:hAnsi="楷体" w:eastAsia="楷体" w:cs="Calibri"/>
          <w:sz w:val="24"/>
          <w:szCs w:val="24"/>
        </w:rPr>
        <w:t>年</w:t>
      </w:r>
      <w:r>
        <w:rPr>
          <w:rFonts w:hint="eastAsia" w:ascii="楷体" w:hAnsi="楷体" w:eastAsia="楷体" w:cs="Calibri"/>
          <w:sz w:val="24"/>
          <w:szCs w:val="24"/>
          <w:lang w:val="en-US" w:eastAsia="zh-CN"/>
        </w:rPr>
        <w:t>1</w:t>
      </w:r>
      <w:r>
        <w:rPr>
          <w:rFonts w:hint="eastAsia" w:ascii="楷体" w:hAnsi="楷体" w:eastAsia="楷体" w:cs="Calibri"/>
          <w:sz w:val="24"/>
          <w:szCs w:val="24"/>
        </w:rPr>
        <w:t>月</w:t>
      </w:r>
      <w:r>
        <w:rPr>
          <w:rFonts w:hint="eastAsia" w:ascii="楷体" w:hAnsi="楷体" w:eastAsia="楷体" w:cs="Calibri"/>
          <w:sz w:val="24"/>
          <w:szCs w:val="24"/>
          <w:lang w:val="en-US" w:eastAsia="zh-CN"/>
        </w:rPr>
        <w:t>14</w:t>
      </w:r>
      <w:r>
        <w:rPr>
          <w:rFonts w:hint="eastAsia" w:ascii="楷体" w:hAnsi="楷体" w:eastAsia="楷体" w:cs="Calibri"/>
          <w:sz w:val="24"/>
          <w:szCs w:val="24"/>
        </w:rPr>
        <w:t>日进行份额登记。</w:t>
      </w:r>
    </w:p>
    <w:p>
      <w:pPr>
        <w:numPr>
          <w:ilvl w:val="0"/>
          <w:numId w:val="2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11"/>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产品估值</w:t>
      </w:r>
    </w:p>
    <w:p>
      <w:pPr>
        <w:numPr>
          <w:ilvl w:val="0"/>
          <w:numId w:val="2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本产品所拥有的各类证券、银行存款、应收款项及其它资产及负债。</w:t>
      </w:r>
    </w:p>
    <w:p>
      <w:pPr>
        <w:numPr>
          <w:ilvl w:val="0"/>
          <w:numId w:val="2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估值要求</w:t>
      </w:r>
    </w:p>
    <w:p>
      <w:pPr>
        <w:numPr>
          <w:ilvl w:val="0"/>
          <w:numId w:val="2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本产品资产估值的目的是客观、准确的反映资产净值，确定理财产品资产净值，并为理财产品的兑付提供计价依据。</w:t>
      </w:r>
    </w:p>
    <w:p>
      <w:pPr>
        <w:numPr>
          <w:ilvl w:val="0"/>
          <w:numId w:val="2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本产品单位净值精确到小数点后6位，小数点6位后截位。</w:t>
      </w:r>
    </w:p>
    <w:p>
      <w:pPr>
        <w:numPr>
          <w:ilvl w:val="0"/>
          <w:numId w:val="2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本产品每周估值</w:t>
      </w:r>
      <w:r>
        <w:rPr>
          <w:rFonts w:ascii="楷体" w:hAnsi="楷体" w:eastAsia="楷体" w:cs="Calibri"/>
          <w:sz w:val="24"/>
          <w:szCs w:val="24"/>
        </w:rPr>
        <w:t>，</w:t>
      </w:r>
      <w:r>
        <w:rPr>
          <w:rFonts w:hint="eastAsia" w:ascii="楷体" w:hAnsi="楷体" w:eastAsia="楷体" w:cs="Calibri"/>
          <w:sz w:val="24"/>
          <w:szCs w:val="24"/>
        </w:rPr>
        <w:t>并于估值日后第2个工作日内，通过本产品说明书约定方式披露产品单位净值。</w:t>
      </w:r>
    </w:p>
    <w:p>
      <w:pPr>
        <w:numPr>
          <w:ilvl w:val="0"/>
          <w:numId w:val="2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估值方法</w:t>
      </w:r>
    </w:p>
    <w:p>
      <w:pPr>
        <w:ind w:firstLine="480" w:firstLineChars="200"/>
        <w:rPr>
          <w:rFonts w:hint="eastAsia" w:ascii="楷体" w:hAnsi="楷体" w:eastAsia="楷体" w:cs="Calibri"/>
          <w:sz w:val="24"/>
          <w:szCs w:val="24"/>
        </w:rPr>
      </w:pPr>
      <w:r>
        <w:rPr>
          <w:rFonts w:hint="eastAsia" w:ascii="楷体" w:hAnsi="楷体" w:eastAsia="楷体" w:cs="Calibri"/>
          <w:sz w:val="24"/>
          <w:szCs w:val="24"/>
        </w:rPr>
        <w:t>1.存款类资产、货币市场工具：以本金列示，逐日计提利息。</w:t>
      </w:r>
    </w:p>
    <w:p>
      <w:pPr>
        <w:ind w:firstLine="480" w:firstLineChars="200"/>
        <w:rPr>
          <w:rFonts w:hint="eastAsia" w:ascii="楷体" w:hAnsi="楷体" w:eastAsia="楷体" w:cs="Calibri"/>
          <w:sz w:val="24"/>
          <w:szCs w:val="24"/>
        </w:rPr>
      </w:pPr>
      <w:r>
        <w:rPr>
          <w:rFonts w:hint="eastAsia" w:ascii="楷体" w:hAnsi="楷体" w:eastAsia="楷体" w:cs="Calibri"/>
          <w:sz w:val="24"/>
          <w:szCs w:val="24"/>
        </w:rPr>
        <w:t>2.货币市场基金：按公允价值进行估值，以估值截止时间点能够取得的最新每万份收益进行估值。</w:t>
      </w:r>
    </w:p>
    <w:p>
      <w:pPr>
        <w:ind w:firstLine="480" w:firstLineChars="200"/>
        <w:rPr>
          <w:rFonts w:hint="eastAsia" w:ascii="楷体" w:hAnsi="楷体" w:eastAsia="楷体" w:cs="Calibri"/>
          <w:sz w:val="24"/>
          <w:szCs w:val="24"/>
        </w:rPr>
      </w:pPr>
      <w:r>
        <w:rPr>
          <w:rFonts w:hint="eastAsia" w:ascii="楷体" w:hAnsi="楷体" w:eastAsia="楷体" w:cs="Calibri"/>
          <w:sz w:val="24"/>
          <w:szCs w:val="24"/>
        </w:rPr>
        <w:t>3.债券类资产：</w:t>
      </w:r>
    </w:p>
    <w:p>
      <w:pPr>
        <w:ind w:firstLine="480" w:firstLineChars="200"/>
        <w:rPr>
          <w:rFonts w:hint="eastAsia" w:ascii="楷体" w:hAnsi="楷体" w:eastAsia="楷体" w:cs="Calibri"/>
          <w:sz w:val="24"/>
          <w:szCs w:val="24"/>
        </w:rPr>
      </w:pPr>
      <w:r>
        <w:rPr>
          <w:rFonts w:hint="eastAsia" w:ascii="楷体" w:hAnsi="楷体" w:eastAsia="楷体" w:cs="Calibri"/>
          <w:sz w:val="24"/>
          <w:szCs w:val="24"/>
        </w:rPr>
        <w:t>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80" w:firstLineChars="200"/>
        <w:rPr>
          <w:rFonts w:hint="eastAsia" w:ascii="楷体" w:hAnsi="楷体" w:eastAsia="楷体" w:cs="Calibri"/>
          <w:sz w:val="24"/>
          <w:szCs w:val="24"/>
        </w:rPr>
      </w:pPr>
      <w:r>
        <w:rPr>
          <w:rFonts w:hint="eastAsia" w:ascii="楷体" w:hAnsi="楷体" w:eastAsia="楷体" w:cs="Calibri"/>
          <w:sz w:val="24"/>
          <w:szCs w:val="24"/>
        </w:rPr>
        <w:t>4.债权类资产：</w:t>
      </w:r>
    </w:p>
    <w:p>
      <w:pPr>
        <w:ind w:firstLine="480" w:firstLineChars="200"/>
        <w:rPr>
          <w:rFonts w:hint="eastAsia" w:ascii="楷体" w:hAnsi="楷体" w:eastAsia="楷体" w:cs="Calibri"/>
          <w:sz w:val="24"/>
          <w:szCs w:val="24"/>
        </w:rPr>
      </w:pPr>
      <w:r>
        <w:rPr>
          <w:rFonts w:hint="eastAsia" w:ascii="楷体" w:hAnsi="楷体" w:eastAsia="楷体" w:cs="Calibri"/>
          <w:sz w:val="24"/>
          <w:szCs w:val="24"/>
        </w:rPr>
        <w:t>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80" w:firstLineChars="200"/>
        <w:rPr>
          <w:rFonts w:hint="eastAsia" w:ascii="楷体" w:hAnsi="楷体" w:eastAsia="楷体" w:cs="Calibri"/>
          <w:sz w:val="24"/>
          <w:szCs w:val="24"/>
        </w:rPr>
      </w:pPr>
      <w:r>
        <w:rPr>
          <w:rFonts w:hint="eastAsia" w:ascii="楷体" w:hAnsi="楷体" w:eastAsia="楷体" w:cs="Calibri"/>
          <w:sz w:val="24"/>
          <w:szCs w:val="24"/>
        </w:rPr>
        <w:t>5.权益类资产：按公允价值进行估值，采用市价、监管认可的第三方估值机构提供的估值价格进行估值。</w:t>
      </w:r>
    </w:p>
    <w:p>
      <w:pPr>
        <w:ind w:firstLine="480" w:firstLineChars="200"/>
        <w:rPr>
          <w:rFonts w:hint="eastAsia" w:ascii="楷体" w:hAnsi="楷体" w:eastAsia="楷体" w:cs="Calibri"/>
          <w:sz w:val="24"/>
          <w:szCs w:val="24"/>
        </w:rPr>
      </w:pPr>
      <w:r>
        <w:rPr>
          <w:rFonts w:hint="eastAsia" w:ascii="楷体" w:hAnsi="楷体" w:eastAsia="楷体" w:cs="Calibri"/>
          <w:sz w:val="24"/>
          <w:szCs w:val="24"/>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80" w:firstLineChars="200"/>
        <w:rPr>
          <w:rFonts w:hint="eastAsia" w:ascii="楷体" w:hAnsi="楷体" w:eastAsia="楷体" w:cs="Calibri"/>
          <w:sz w:val="24"/>
          <w:szCs w:val="24"/>
        </w:rPr>
      </w:pPr>
      <w:r>
        <w:rPr>
          <w:rFonts w:hint="eastAsia" w:ascii="楷体" w:hAnsi="楷体" w:eastAsia="楷体" w:cs="Calibri"/>
          <w:sz w:val="24"/>
          <w:szCs w:val="24"/>
        </w:rPr>
        <w:t>7.其他资产：按公允价值进行估值。</w:t>
      </w:r>
    </w:p>
    <w:p>
      <w:pPr>
        <w:ind w:firstLine="480" w:firstLineChars="200"/>
        <w:rPr>
          <w:rFonts w:ascii="楷体" w:hAnsi="楷体" w:eastAsia="楷体"/>
          <w:sz w:val="24"/>
          <w:szCs w:val="24"/>
        </w:rPr>
      </w:pPr>
      <w:r>
        <w:rPr>
          <w:rFonts w:hint="eastAsia" w:ascii="楷体" w:hAnsi="楷体" w:eastAsia="楷体" w:cs="Calibri"/>
          <w:sz w:val="24"/>
          <w:szCs w:val="24"/>
        </w:rPr>
        <w:t>如有新增事项或变更事项，按国家法律法规及监管最新规定执行。</w:t>
      </w:r>
    </w:p>
    <w:p>
      <w:pPr>
        <w:numPr>
          <w:ilvl w:val="0"/>
          <w:numId w:val="2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w:t>
      </w:r>
      <w:r>
        <w:rPr>
          <w:rFonts w:hint="eastAsia" w:ascii="楷体" w:hAnsi="楷体" w:eastAsia="楷体"/>
          <w:sz w:val="24"/>
          <w:szCs w:val="24"/>
          <w:lang w:val="en-US" w:eastAsia="zh-CN"/>
        </w:rPr>
        <w:t>减轻或</w:t>
      </w:r>
      <w:r>
        <w:rPr>
          <w:rFonts w:hint="eastAsia" w:ascii="楷体" w:hAnsi="楷体" w:eastAsia="楷体"/>
          <w:sz w:val="24"/>
          <w:szCs w:val="24"/>
        </w:rPr>
        <w:t>消除由此造成的影响。</w:t>
      </w:r>
    </w:p>
    <w:p>
      <w:pPr>
        <w:numPr>
          <w:ilvl w:val="0"/>
          <w:numId w:val="2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暂停估值</w:t>
      </w:r>
    </w:p>
    <w:p>
      <w:pPr>
        <w:ind w:firstLine="480" w:firstLineChars="200"/>
        <w:rPr>
          <w:rFonts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11"/>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产品的终止与清算</w:t>
      </w:r>
    </w:p>
    <w:p>
      <w:pPr>
        <w:numPr>
          <w:ilvl w:val="0"/>
          <w:numId w:val="25"/>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理财产品的终止</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提前终止</w:t>
      </w:r>
    </w:p>
    <w:p>
      <w:pPr>
        <w:ind w:firstLine="480" w:firstLineChars="200"/>
        <w:rPr>
          <w:rFonts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w:t>
      </w:r>
      <w:r>
        <w:rPr>
          <w:rFonts w:hint="eastAsia" w:ascii="楷体" w:hAnsi="楷体" w:eastAsia="楷体"/>
          <w:sz w:val="24"/>
          <w:szCs w:val="24"/>
          <w:lang w:val="en-US" w:eastAsia="zh-CN"/>
        </w:rPr>
        <w:t>提前</w:t>
      </w:r>
      <w:r>
        <w:rPr>
          <w:rFonts w:hint="eastAsia" w:ascii="楷体" w:hAnsi="楷体" w:eastAsia="楷体"/>
          <w:sz w:val="24"/>
          <w:szCs w:val="24"/>
        </w:rPr>
        <w:t>终止本产品：</w:t>
      </w:r>
    </w:p>
    <w:p>
      <w:pPr>
        <w:numPr>
          <w:ilvl w:val="0"/>
          <w:numId w:val="27"/>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因不可抗力原因导致理财产品无法继续运作；</w:t>
      </w:r>
    </w:p>
    <w:p>
      <w:pPr>
        <w:numPr>
          <w:ilvl w:val="0"/>
          <w:numId w:val="27"/>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p>
    <w:p>
      <w:pPr>
        <w:numPr>
          <w:ilvl w:val="0"/>
          <w:numId w:val="27"/>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法律法规规定或监管部门认定的其他情形。</w:t>
      </w:r>
    </w:p>
    <w:p>
      <w:pPr>
        <w:tabs>
          <w:tab w:val="left" w:pos="1092"/>
        </w:tabs>
        <w:ind w:firstLine="480" w:firstLineChars="200"/>
        <w:rPr>
          <w:rFonts w:ascii="楷体" w:hAnsi="楷体" w:eastAsia="楷体" w:cs="Calibri"/>
          <w:sz w:val="24"/>
          <w:szCs w:val="24"/>
        </w:rPr>
      </w:pPr>
      <w:r>
        <w:rPr>
          <w:rFonts w:hint="eastAsia" w:ascii="楷体" w:hAnsi="楷体" w:eastAsia="楷体"/>
          <w:sz w:val="24"/>
          <w:szCs w:val="24"/>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ascii="楷体" w:hAnsi="楷体" w:eastAsia="楷体"/>
          <w:sz w:val="24"/>
          <w:szCs w:val="24"/>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个工作日（含）按说明书约定的信息披露方式予以披露。</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正常兑付</w:t>
      </w:r>
    </w:p>
    <w:p>
      <w:pPr>
        <w:ind w:firstLine="480" w:firstLineChars="200"/>
        <w:rPr>
          <w:rFonts w:ascii="楷体" w:hAnsi="楷体" w:eastAsia="楷体" w:cs="Calibri"/>
          <w:sz w:val="24"/>
          <w:szCs w:val="24"/>
        </w:rPr>
      </w:pPr>
      <w:r>
        <w:rPr>
          <w:rFonts w:hint="eastAsia" w:ascii="楷体" w:hAnsi="楷体" w:eastAsia="楷体"/>
          <w:sz w:val="24"/>
          <w:szCs w:val="24"/>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★延期兑付</w:t>
      </w:r>
    </w:p>
    <w:p>
      <w:pPr>
        <w:ind w:firstLine="480" w:firstLineChars="200"/>
        <w:rPr>
          <w:rFonts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28"/>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产</w:t>
      </w:r>
      <w:r>
        <w:rPr>
          <w:rFonts w:hint="eastAsia" w:ascii="楷体" w:hAnsi="楷体" w:eastAsia="楷体" w:cs="Calibri"/>
          <w:sz w:val="24"/>
          <w:szCs w:val="24"/>
        </w:rPr>
        <w:t>品终止日遇非工作日则顺延至下一工作日，投资者清算资金到账日将相应调整；</w:t>
      </w:r>
    </w:p>
    <w:p>
      <w:pPr>
        <w:numPr>
          <w:ilvl w:val="0"/>
          <w:numId w:val="28"/>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因不可抗力</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市场发生重大变化等</w:t>
      </w:r>
      <w:r>
        <w:rPr>
          <w:rFonts w:hint="eastAsia" w:ascii="楷体" w:hAnsi="楷体" w:eastAsia="楷体" w:cs="Calibri"/>
          <w:sz w:val="24"/>
          <w:szCs w:val="24"/>
        </w:rPr>
        <w:t>原因导致产品项下对应的投资标的无法及时变现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无法</w:t>
      </w:r>
      <w:r>
        <w:rPr>
          <w:rFonts w:hint="eastAsia" w:ascii="楷体" w:hAnsi="楷体" w:eastAsia="楷体" w:cs="Calibri"/>
          <w:sz w:val="24"/>
          <w:szCs w:val="24"/>
        </w:rPr>
        <w:t>及时收回资金；</w:t>
      </w:r>
    </w:p>
    <w:p>
      <w:pPr>
        <w:numPr>
          <w:ilvl w:val="0"/>
          <w:numId w:val="28"/>
        </w:numPr>
        <w:tabs>
          <w:tab w:val="left" w:pos="1092"/>
        </w:tabs>
        <w:ind w:left="0" w:firstLine="480" w:firstLineChars="200"/>
        <w:rPr>
          <w:rFonts w:ascii="楷体" w:hAnsi="楷体" w:eastAsia="楷体" w:cs="Calibri"/>
          <w:sz w:val="24"/>
          <w:szCs w:val="24"/>
        </w:rPr>
      </w:pPr>
      <w:r>
        <w:rPr>
          <w:rFonts w:hint="eastAsia" w:ascii="楷体" w:hAnsi="楷体" w:eastAsia="楷体" w:cs="Calibri"/>
          <w:color w:val="auto"/>
          <w:sz w:val="24"/>
          <w:szCs w:val="24"/>
        </w:rPr>
        <w:t>法律法规规定或监管部门认定的其他情形</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个工作日（含）按说明书约定的信息披露方式予以披露。</w:t>
      </w:r>
    </w:p>
    <w:p>
      <w:pPr>
        <w:numPr>
          <w:ilvl w:val="0"/>
          <w:numId w:val="25"/>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投资者可得资金计算</w:t>
      </w:r>
    </w:p>
    <w:p>
      <w:pPr>
        <w:ind w:firstLine="480" w:firstLineChars="200"/>
        <w:rPr>
          <w:rFonts w:ascii="楷体" w:hAnsi="楷体" w:eastAsia="楷体"/>
          <w:sz w:val="24"/>
          <w:szCs w:val="24"/>
        </w:rPr>
      </w:pPr>
      <w:r>
        <w:rPr>
          <w:rFonts w:hint="eastAsia" w:ascii="楷体" w:hAnsi="楷体" w:eastAsia="楷体"/>
          <w:sz w:val="24"/>
          <w:szCs w:val="24"/>
        </w:rPr>
        <w:t>投资者可得资金=投资者持有份额×产品到期时单位净值</w:t>
      </w:r>
    </w:p>
    <w:p>
      <w:pPr>
        <w:ind w:firstLine="480" w:firstLineChars="200"/>
        <w:rPr>
          <w:rFonts w:ascii="楷体" w:hAnsi="楷体" w:eastAsia="楷体"/>
          <w:sz w:val="24"/>
          <w:szCs w:val="24"/>
        </w:rPr>
      </w:pPr>
      <w:r>
        <w:rPr>
          <w:rFonts w:hint="eastAsia" w:ascii="楷体" w:hAnsi="楷体" w:eastAsia="楷体"/>
          <w:sz w:val="24"/>
          <w:szCs w:val="24"/>
        </w:rPr>
        <w:t>计算示例</w:t>
      </w:r>
    </w:p>
    <w:p>
      <w:pPr>
        <w:ind w:firstLine="482" w:firstLineChars="200"/>
        <w:rPr>
          <w:rFonts w:ascii="楷体" w:hAnsi="楷体" w:eastAsia="楷体"/>
          <w:b/>
          <w:sz w:val="24"/>
          <w:szCs w:val="24"/>
          <w:u w:val="single"/>
        </w:rPr>
      </w:pPr>
      <w:r>
        <w:rPr>
          <w:rFonts w:hint="eastAsia" w:ascii="楷体" w:hAnsi="楷体" w:eastAsia="楷体"/>
          <w:b/>
          <w:sz w:val="24"/>
          <w:szCs w:val="24"/>
          <w:u w:val="single"/>
        </w:rPr>
        <w:t>以下示例均为假设情况，不代表本产品实际投资业绩。</w:t>
      </w:r>
    </w:p>
    <w:p>
      <w:pPr>
        <w:ind w:firstLine="480" w:firstLineChars="200"/>
        <w:rPr>
          <w:rFonts w:ascii="楷体" w:hAnsi="楷体" w:eastAsia="楷体"/>
          <w:sz w:val="24"/>
          <w:szCs w:val="24"/>
        </w:rPr>
      </w:pPr>
      <w:r>
        <w:rPr>
          <w:rFonts w:hint="eastAsia" w:ascii="楷体" w:hAnsi="楷体" w:eastAsia="楷体"/>
          <w:sz w:val="24"/>
          <w:szCs w:val="24"/>
        </w:rPr>
        <w:t>1.情景一</w:t>
      </w:r>
    </w:p>
    <w:p>
      <w:pPr>
        <w:ind w:firstLine="480" w:firstLineChars="200"/>
        <w:rPr>
          <w:rFonts w:ascii="楷体" w:hAnsi="楷体" w:eastAsia="楷体"/>
          <w:sz w:val="24"/>
          <w:szCs w:val="24"/>
        </w:rPr>
      </w:pPr>
      <w:r>
        <w:rPr>
          <w:rFonts w:hint="eastAsia" w:ascii="楷体" w:hAnsi="楷体" w:eastAsia="楷体"/>
          <w:sz w:val="24"/>
          <w:szCs w:val="24"/>
        </w:rPr>
        <w:t>假定投资者于募集期认购本产品，投资金额为10,000.00元，购买产品时单位净值为1.0000</w:t>
      </w:r>
      <w:r>
        <w:rPr>
          <w:rFonts w:ascii="楷体" w:hAnsi="楷体" w:eastAsia="楷体"/>
          <w:sz w:val="24"/>
          <w:szCs w:val="24"/>
        </w:rPr>
        <w:t>00</w:t>
      </w:r>
      <w:r>
        <w:rPr>
          <w:rFonts w:hint="eastAsia" w:ascii="楷体" w:hAnsi="楷体" w:eastAsia="楷体"/>
          <w:sz w:val="24"/>
          <w:szCs w:val="24"/>
        </w:rPr>
        <w:t>元，折算份额为10,000.00份。产品到期时，产品单位净值为</w:t>
      </w:r>
      <w:r>
        <w:rPr>
          <w:rFonts w:ascii="楷体" w:hAnsi="楷体" w:eastAsia="楷体"/>
          <w:sz w:val="24"/>
          <w:szCs w:val="24"/>
        </w:rPr>
        <w:t>1.027000</w:t>
      </w:r>
      <w:r>
        <w:rPr>
          <w:rFonts w:hint="eastAsia" w:ascii="楷体" w:hAnsi="楷体" w:eastAsia="楷体"/>
          <w:sz w:val="24"/>
          <w:szCs w:val="24"/>
        </w:rPr>
        <w:t>元。</w:t>
      </w:r>
    </w:p>
    <w:p>
      <w:pPr>
        <w:ind w:firstLine="480" w:firstLineChars="200"/>
        <w:rPr>
          <w:rFonts w:ascii="楷体" w:hAnsi="楷体" w:eastAsia="楷体"/>
          <w:sz w:val="24"/>
          <w:szCs w:val="24"/>
        </w:rPr>
      </w:pPr>
      <w:r>
        <w:rPr>
          <w:rFonts w:hint="eastAsia" w:ascii="楷体" w:hAnsi="楷体" w:eastAsia="楷体"/>
          <w:sz w:val="24"/>
          <w:szCs w:val="24"/>
        </w:rPr>
        <w:t>投资者可得资金=10,000.00×</w:t>
      </w:r>
      <w:r>
        <w:rPr>
          <w:rFonts w:ascii="楷体" w:hAnsi="楷体" w:eastAsia="楷体"/>
          <w:sz w:val="24"/>
          <w:szCs w:val="24"/>
        </w:rPr>
        <w:t>1.027000</w:t>
      </w:r>
      <w:r>
        <w:rPr>
          <w:rFonts w:hint="eastAsia" w:ascii="楷体" w:hAnsi="楷体" w:eastAsia="楷体"/>
          <w:sz w:val="24"/>
          <w:szCs w:val="24"/>
        </w:rPr>
        <w:t>=10,</w:t>
      </w:r>
      <w:r>
        <w:rPr>
          <w:rFonts w:ascii="楷体" w:hAnsi="楷体" w:eastAsia="楷体"/>
          <w:sz w:val="24"/>
          <w:szCs w:val="24"/>
        </w:rPr>
        <w:t>27</w:t>
      </w:r>
      <w:r>
        <w:rPr>
          <w:rFonts w:hint="eastAsia" w:ascii="楷体" w:hAnsi="楷体" w:eastAsia="楷体"/>
          <w:sz w:val="24"/>
          <w:szCs w:val="24"/>
        </w:rPr>
        <w:t>0.00（元）</w:t>
      </w:r>
    </w:p>
    <w:p>
      <w:pPr>
        <w:ind w:firstLine="480" w:firstLineChars="200"/>
        <w:rPr>
          <w:rFonts w:ascii="楷体" w:hAnsi="楷体" w:eastAsia="楷体"/>
          <w:sz w:val="24"/>
          <w:szCs w:val="24"/>
        </w:rPr>
      </w:pPr>
      <w:r>
        <w:rPr>
          <w:rFonts w:hint="eastAsia" w:ascii="楷体" w:hAnsi="楷体" w:eastAsia="楷体"/>
          <w:sz w:val="24"/>
          <w:szCs w:val="24"/>
        </w:rPr>
        <w:t>投资者投资收益=10,</w:t>
      </w:r>
      <w:r>
        <w:rPr>
          <w:rFonts w:ascii="楷体" w:hAnsi="楷体" w:eastAsia="楷体"/>
          <w:sz w:val="24"/>
          <w:szCs w:val="24"/>
        </w:rPr>
        <w:t>27</w:t>
      </w:r>
      <w:r>
        <w:rPr>
          <w:rFonts w:hint="eastAsia" w:ascii="楷体" w:hAnsi="楷体" w:eastAsia="楷体"/>
          <w:sz w:val="24"/>
          <w:szCs w:val="24"/>
        </w:rPr>
        <w:t>0.00-10,000.00=</w:t>
      </w:r>
      <w:r>
        <w:rPr>
          <w:rFonts w:ascii="楷体" w:hAnsi="楷体" w:eastAsia="楷体"/>
          <w:sz w:val="24"/>
          <w:szCs w:val="24"/>
        </w:rPr>
        <w:t>27</w:t>
      </w:r>
      <w:r>
        <w:rPr>
          <w:rFonts w:hint="eastAsia" w:ascii="楷体" w:hAnsi="楷体" w:eastAsia="楷体"/>
          <w:sz w:val="24"/>
          <w:szCs w:val="24"/>
        </w:rPr>
        <w:t>0.00（元）</w:t>
      </w:r>
    </w:p>
    <w:p>
      <w:pPr>
        <w:ind w:firstLine="480" w:firstLineChars="200"/>
        <w:rPr>
          <w:rFonts w:ascii="楷体" w:hAnsi="楷体" w:eastAsia="楷体"/>
          <w:sz w:val="24"/>
          <w:szCs w:val="24"/>
        </w:rPr>
      </w:pPr>
      <w:r>
        <w:rPr>
          <w:rFonts w:hint="eastAsia" w:ascii="楷体" w:hAnsi="楷体" w:eastAsia="楷体"/>
          <w:sz w:val="24"/>
          <w:szCs w:val="24"/>
        </w:rPr>
        <w:t>2.情景二</w:t>
      </w:r>
    </w:p>
    <w:p>
      <w:pPr>
        <w:ind w:firstLine="480" w:firstLineChars="200"/>
        <w:rPr>
          <w:rFonts w:ascii="楷体" w:hAnsi="楷体" w:eastAsia="楷体"/>
          <w:sz w:val="24"/>
          <w:szCs w:val="24"/>
        </w:rPr>
      </w:pPr>
      <w:r>
        <w:rPr>
          <w:rFonts w:hint="eastAsia" w:ascii="楷体" w:hAnsi="楷体" w:eastAsia="楷体"/>
          <w:sz w:val="24"/>
          <w:szCs w:val="24"/>
        </w:rPr>
        <w:t>假定投资者于募集期认购本产品，投资金额为10,000.00元，购买产品时单位净值为1.0000</w:t>
      </w:r>
      <w:r>
        <w:rPr>
          <w:rFonts w:ascii="楷体" w:hAnsi="楷体" w:eastAsia="楷体"/>
          <w:sz w:val="24"/>
          <w:szCs w:val="24"/>
        </w:rPr>
        <w:t>00</w:t>
      </w:r>
      <w:r>
        <w:rPr>
          <w:rFonts w:hint="eastAsia" w:ascii="楷体" w:hAnsi="楷体" w:eastAsia="楷体"/>
          <w:sz w:val="24"/>
          <w:szCs w:val="24"/>
        </w:rPr>
        <w:t>元，折算份额为10,000.00份。产品到期时，产品单位净值为</w:t>
      </w:r>
      <w:r>
        <w:rPr>
          <w:rFonts w:ascii="楷体" w:hAnsi="楷体" w:eastAsia="楷体"/>
          <w:sz w:val="24"/>
          <w:szCs w:val="24"/>
        </w:rPr>
        <w:t>0.997500</w:t>
      </w:r>
      <w:r>
        <w:rPr>
          <w:rFonts w:hint="eastAsia" w:ascii="楷体" w:hAnsi="楷体" w:eastAsia="楷体"/>
          <w:sz w:val="24"/>
          <w:szCs w:val="24"/>
        </w:rPr>
        <w:t>元。</w:t>
      </w:r>
    </w:p>
    <w:p>
      <w:pPr>
        <w:ind w:firstLine="480" w:firstLineChars="200"/>
        <w:rPr>
          <w:rFonts w:ascii="楷体" w:hAnsi="楷体" w:eastAsia="楷体"/>
          <w:sz w:val="24"/>
          <w:szCs w:val="24"/>
        </w:rPr>
      </w:pPr>
      <w:r>
        <w:rPr>
          <w:rFonts w:hint="eastAsia" w:ascii="楷体" w:hAnsi="楷体" w:eastAsia="楷体"/>
          <w:sz w:val="24"/>
          <w:szCs w:val="24"/>
        </w:rPr>
        <w:t>投资者可得资金=10,000.00×0.9975</w:t>
      </w:r>
      <w:r>
        <w:rPr>
          <w:rFonts w:ascii="楷体" w:hAnsi="楷体" w:eastAsia="楷体"/>
          <w:sz w:val="24"/>
          <w:szCs w:val="24"/>
        </w:rPr>
        <w:t>00</w:t>
      </w:r>
      <w:r>
        <w:rPr>
          <w:rFonts w:hint="eastAsia" w:ascii="楷体" w:hAnsi="楷体" w:eastAsia="楷体"/>
          <w:sz w:val="24"/>
          <w:szCs w:val="24"/>
        </w:rPr>
        <w:t>=9,975.00（元）</w:t>
      </w:r>
    </w:p>
    <w:p>
      <w:pPr>
        <w:ind w:firstLine="480" w:firstLineChars="200"/>
        <w:rPr>
          <w:rFonts w:ascii="楷体" w:hAnsi="楷体" w:eastAsia="楷体"/>
          <w:sz w:val="24"/>
          <w:szCs w:val="24"/>
        </w:rPr>
      </w:pPr>
      <w:r>
        <w:rPr>
          <w:rFonts w:hint="eastAsia" w:ascii="楷体" w:hAnsi="楷体" w:eastAsia="楷体"/>
          <w:sz w:val="24"/>
          <w:szCs w:val="24"/>
        </w:rPr>
        <w:t>投资者投资收益=9,975.00-10,000.00=-</w:t>
      </w:r>
      <w:r>
        <w:rPr>
          <w:rFonts w:ascii="楷体" w:hAnsi="楷体" w:eastAsia="楷体"/>
          <w:sz w:val="24"/>
          <w:szCs w:val="24"/>
        </w:rPr>
        <w:t>25</w:t>
      </w:r>
      <w:r>
        <w:rPr>
          <w:rFonts w:hint="eastAsia" w:ascii="楷体" w:hAnsi="楷体" w:eastAsia="楷体"/>
          <w:sz w:val="24"/>
          <w:szCs w:val="24"/>
        </w:rPr>
        <w:t>.</w:t>
      </w:r>
      <w:r>
        <w:rPr>
          <w:rFonts w:ascii="楷体" w:hAnsi="楷体" w:eastAsia="楷体"/>
          <w:sz w:val="24"/>
          <w:szCs w:val="24"/>
        </w:rPr>
        <w:t>00</w:t>
      </w:r>
      <w:r>
        <w:rPr>
          <w:rFonts w:hint="eastAsia" w:ascii="楷体" w:hAnsi="楷体" w:eastAsia="楷体"/>
          <w:sz w:val="24"/>
          <w:szCs w:val="24"/>
        </w:rPr>
        <w:t>（元）</w:t>
      </w:r>
    </w:p>
    <w:p>
      <w:pPr>
        <w:ind w:firstLine="482" w:firstLineChars="200"/>
        <w:rPr>
          <w:rFonts w:ascii="楷体" w:hAnsi="楷体" w:eastAsia="楷体"/>
          <w:b/>
          <w:sz w:val="24"/>
          <w:szCs w:val="24"/>
          <w:u w:val="single"/>
        </w:rPr>
      </w:pPr>
      <w:r>
        <w:rPr>
          <w:rFonts w:hint="eastAsia" w:ascii="楷体" w:hAnsi="楷体" w:eastAsia="楷体"/>
          <w:b/>
          <w:sz w:val="24"/>
          <w:szCs w:val="24"/>
          <w:u w:val="single"/>
        </w:rPr>
        <w:t>最不利的情形下，投资者可能损失100%本金。</w:t>
      </w:r>
    </w:p>
    <w:p>
      <w:pPr>
        <w:ind w:firstLine="482" w:firstLineChars="200"/>
        <w:rPr>
          <w:rFonts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5"/>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理财产品的清算</w:t>
      </w:r>
    </w:p>
    <w:p>
      <w:pPr>
        <w:numPr>
          <w:ilvl w:val="0"/>
          <w:numId w:val="2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2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0"/>
          <w:numId w:val="11"/>
        </w:numPr>
        <w:tabs>
          <w:tab w:val="left" w:pos="1428"/>
        </w:tabs>
        <w:ind w:firstLine="562" w:firstLineChars="200"/>
        <w:rPr>
          <w:rFonts w:ascii="楷体" w:hAnsi="楷体" w:eastAsia="楷体"/>
          <w:b/>
          <w:sz w:val="28"/>
          <w:szCs w:val="28"/>
        </w:rPr>
      </w:pPr>
      <w:r>
        <w:rPr>
          <w:rFonts w:hint="eastAsia" w:ascii="楷体" w:hAnsi="楷体" w:eastAsia="楷体"/>
          <w:b/>
          <w:sz w:val="28"/>
          <w:szCs w:val="28"/>
        </w:rPr>
        <w:t>产品费用</w:t>
      </w:r>
    </w:p>
    <w:p>
      <w:pPr>
        <w:numPr>
          <w:ilvl w:val="0"/>
          <w:numId w:val="30"/>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本产品费用包括托管费、销售服务费、投资管理费、超额业绩报酬（如有）以及产品运作和清算中产生的其他费用等。</w:t>
      </w:r>
    </w:p>
    <w:p>
      <w:pPr>
        <w:numPr>
          <w:ilvl w:val="0"/>
          <w:numId w:val="30"/>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计提方法、计提标准和支付方式</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托管费：本产品的托管费每日计提，按季支付，由托管行收取。计算方法如下：</w:t>
      </w:r>
    </w:p>
    <w:p>
      <w:pPr>
        <w:ind w:firstLine="480" w:firstLineChars="200"/>
        <w:rPr>
          <w:rFonts w:ascii="楷体" w:hAnsi="楷体" w:eastAsia="楷体"/>
          <w:sz w:val="24"/>
          <w:szCs w:val="24"/>
        </w:rPr>
      </w:pPr>
      <w:r>
        <w:rPr>
          <w:rFonts w:hint="eastAsia" w:ascii="楷体" w:hAnsi="楷体" w:eastAsia="楷体"/>
          <w:sz w:val="24"/>
          <w:szCs w:val="24"/>
        </w:rPr>
        <w:t>每日应计提的托管费＝前一日的产品资产净值×托管费率÷</w:t>
      </w:r>
      <w:r>
        <w:rPr>
          <w:rFonts w:ascii="楷体" w:hAnsi="楷体" w:eastAsia="楷体"/>
          <w:sz w:val="24"/>
          <w:szCs w:val="24"/>
        </w:rPr>
        <w:t>365</w:t>
      </w:r>
    </w:p>
    <w:p>
      <w:pPr>
        <w:ind w:firstLine="480" w:firstLineChars="200"/>
        <w:rPr>
          <w:rFonts w:ascii="楷体" w:hAnsi="楷体" w:eastAsia="楷体"/>
          <w:sz w:val="24"/>
          <w:szCs w:val="24"/>
        </w:rPr>
      </w:pPr>
      <w:r>
        <w:rPr>
          <w:rFonts w:hint="eastAsia" w:ascii="楷体" w:hAnsi="楷体" w:eastAsia="楷体"/>
          <w:sz w:val="24"/>
          <w:szCs w:val="24"/>
        </w:rPr>
        <w:t>四舍五入保留至小数点后两位</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销售服务费：</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1</w:t>
      </w:r>
      <w:r>
        <w:rPr>
          <w:rFonts w:hint="eastAsia" w:ascii="楷体" w:hAnsi="楷体" w:eastAsia="楷体" w:cs="Calibri"/>
          <w:sz w:val="24"/>
          <w:szCs w:val="24"/>
          <w:lang w:eastAsia="zh-CN"/>
        </w:rPr>
        <w:t>）</w:t>
      </w:r>
      <w:r>
        <w:rPr>
          <w:rFonts w:hint="eastAsia" w:ascii="楷体" w:hAnsi="楷体" w:eastAsia="楷体" w:cs="Calibri"/>
          <w:sz w:val="24"/>
          <w:szCs w:val="24"/>
        </w:rPr>
        <w:t>本产品</w:t>
      </w:r>
      <w:r>
        <w:rPr>
          <w:rFonts w:hint="eastAsia" w:ascii="楷体" w:hAnsi="楷体" w:eastAsia="楷体" w:cs="Calibri"/>
          <w:sz w:val="24"/>
          <w:szCs w:val="24"/>
          <w:lang w:val="en-US" w:eastAsia="zh-CN"/>
        </w:rPr>
        <w:t>A、B、C份额</w:t>
      </w:r>
      <w:r>
        <w:rPr>
          <w:rFonts w:hint="eastAsia" w:ascii="楷体" w:hAnsi="楷体" w:eastAsia="楷体" w:cs="Calibri"/>
          <w:sz w:val="24"/>
          <w:szCs w:val="24"/>
        </w:rPr>
        <w:t>的销售服务费每日计提，按季支付，由销售机构收取。计算方法如下：</w:t>
      </w:r>
    </w:p>
    <w:p>
      <w:pPr>
        <w:ind w:firstLine="480" w:firstLineChars="200"/>
        <w:rPr>
          <w:rFonts w:ascii="楷体" w:hAnsi="楷体" w:eastAsia="楷体"/>
          <w:sz w:val="24"/>
          <w:szCs w:val="24"/>
        </w:rPr>
      </w:pPr>
      <w:r>
        <w:rPr>
          <w:rFonts w:hint="eastAsia" w:ascii="楷体" w:hAnsi="楷体" w:eastAsia="楷体"/>
          <w:sz w:val="24"/>
          <w:szCs w:val="24"/>
        </w:rPr>
        <w:t>每日应计提的销售服务费＝前一日的产品资产净值×销售服务费率÷</w:t>
      </w:r>
      <w:r>
        <w:rPr>
          <w:rFonts w:ascii="楷体" w:hAnsi="楷体" w:eastAsia="楷体"/>
          <w:sz w:val="24"/>
          <w:szCs w:val="24"/>
        </w:rPr>
        <w:t>365</w:t>
      </w:r>
    </w:p>
    <w:p>
      <w:pPr>
        <w:ind w:firstLine="480" w:firstLineChars="200"/>
        <w:rPr>
          <w:rFonts w:hint="eastAsia" w:ascii="楷体" w:hAnsi="楷体" w:eastAsia="楷体"/>
          <w:sz w:val="24"/>
          <w:szCs w:val="24"/>
        </w:rPr>
      </w:pPr>
      <w:r>
        <w:rPr>
          <w:rFonts w:hint="eastAsia" w:ascii="楷体" w:hAnsi="楷体" w:eastAsia="楷体"/>
          <w:sz w:val="24"/>
          <w:szCs w:val="24"/>
        </w:rPr>
        <w:t>四舍五入保留至小数点后两位</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lang w:eastAsia="zh-CN"/>
        </w:rPr>
        <w:t>（</w:t>
      </w:r>
      <w:r>
        <w:rPr>
          <w:rFonts w:hint="eastAsia" w:ascii="楷体" w:hAnsi="楷体" w:eastAsia="楷体"/>
          <w:sz w:val="24"/>
          <w:szCs w:val="24"/>
          <w:lang w:val="en-US" w:eastAsia="zh-CN"/>
        </w:rPr>
        <w:t>2</w:t>
      </w:r>
      <w:r>
        <w:rPr>
          <w:rFonts w:hint="eastAsia" w:ascii="楷体" w:hAnsi="楷体" w:eastAsia="楷体"/>
          <w:sz w:val="24"/>
          <w:szCs w:val="24"/>
          <w:lang w:eastAsia="zh-CN"/>
        </w:rPr>
        <w:t>）</w:t>
      </w:r>
      <w:r>
        <w:rPr>
          <w:rFonts w:hint="eastAsia" w:ascii="楷体" w:hAnsi="楷体" w:eastAsia="楷体" w:cs="Calibri"/>
          <w:sz w:val="24"/>
          <w:szCs w:val="24"/>
        </w:rPr>
        <w:t>本产品</w:t>
      </w:r>
      <w:r>
        <w:rPr>
          <w:rFonts w:hint="eastAsia" w:ascii="楷体" w:hAnsi="楷体" w:eastAsia="楷体" w:cs="Calibri"/>
          <w:sz w:val="24"/>
          <w:szCs w:val="24"/>
          <w:lang w:val="en-US" w:eastAsia="zh-CN"/>
        </w:rPr>
        <w:t>D份额</w:t>
      </w:r>
      <w:r>
        <w:rPr>
          <w:rFonts w:hint="eastAsia" w:ascii="楷体" w:hAnsi="楷体" w:eastAsia="楷体" w:cs="Calibri"/>
          <w:sz w:val="24"/>
          <w:szCs w:val="24"/>
        </w:rPr>
        <w:t>的销售服务费</w:t>
      </w:r>
      <w:r>
        <w:rPr>
          <w:rFonts w:hint="eastAsia" w:ascii="楷体" w:hAnsi="楷体" w:eastAsia="楷体" w:cs="Calibri"/>
          <w:sz w:val="24"/>
          <w:szCs w:val="24"/>
          <w:lang w:val="en-US" w:eastAsia="zh-CN"/>
        </w:rPr>
        <w:t>于产品成立日一次性提取</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每日摊销，</w:t>
      </w:r>
      <w:r>
        <w:rPr>
          <w:rFonts w:hint="eastAsia" w:ascii="楷体" w:hAnsi="楷体" w:eastAsia="楷体" w:cs="Calibri"/>
          <w:sz w:val="24"/>
          <w:szCs w:val="24"/>
        </w:rPr>
        <w:t>由销售机构收取。计算方法如下：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销售服务费＝</w:t>
      </w:r>
      <w:r>
        <w:rPr>
          <w:rFonts w:hint="eastAsia" w:ascii="楷体" w:hAnsi="楷体" w:eastAsia="楷体"/>
          <w:sz w:val="24"/>
          <w:szCs w:val="24"/>
          <w:lang w:val="en-US" w:eastAsia="zh-CN"/>
        </w:rPr>
        <w:t>产品成立日的产品份额</w:t>
      </w:r>
      <w:r>
        <w:rPr>
          <w:rFonts w:hint="eastAsia" w:ascii="楷体" w:hAnsi="楷体" w:eastAsia="楷体"/>
          <w:sz w:val="24"/>
          <w:szCs w:val="24"/>
        </w:rPr>
        <w:t>×</w:t>
      </w:r>
      <w:r>
        <w:rPr>
          <w:rFonts w:hint="eastAsia" w:ascii="楷体" w:hAnsi="楷体" w:eastAsia="楷体"/>
          <w:sz w:val="24"/>
          <w:szCs w:val="24"/>
          <w:lang w:val="en-US" w:eastAsia="zh-CN"/>
        </w:rPr>
        <w:t>销售服务费率</w:t>
      </w:r>
      <w:r>
        <w:rPr>
          <w:rFonts w:hint="eastAsia" w:ascii="楷体" w:hAnsi="楷体" w:eastAsia="楷体"/>
          <w:sz w:val="24"/>
          <w:szCs w:val="24"/>
        </w:rPr>
        <w:t>×</w:t>
      </w:r>
      <w:r>
        <w:rPr>
          <w:rFonts w:hint="eastAsia" w:ascii="楷体" w:hAnsi="楷体" w:eastAsia="楷体"/>
          <w:sz w:val="24"/>
          <w:szCs w:val="24"/>
          <w:lang w:val="en-US" w:eastAsia="zh-CN"/>
        </w:rPr>
        <w:t>产品投资期限天数</w:t>
      </w:r>
      <w:r>
        <w:rPr>
          <w:rFonts w:hint="eastAsia" w:ascii="楷体" w:hAnsi="楷体" w:eastAsia="楷体"/>
          <w:sz w:val="24"/>
          <w:szCs w:val="24"/>
        </w:rPr>
        <w:t>÷365</w:t>
      </w:r>
    </w:p>
    <w:p>
      <w:pPr>
        <w:ind w:firstLine="480" w:firstLineChars="200"/>
        <w:rPr>
          <w:rFonts w:hint="eastAsia" w:ascii="楷体" w:hAnsi="楷体" w:eastAsia="楷体"/>
          <w:sz w:val="24"/>
          <w:szCs w:val="24"/>
        </w:rPr>
      </w:pPr>
      <w:r>
        <w:rPr>
          <w:rFonts w:hint="eastAsia" w:ascii="楷体" w:hAnsi="楷体" w:eastAsia="楷体"/>
          <w:sz w:val="24"/>
          <w:szCs w:val="24"/>
        </w:rPr>
        <w:t>四舍五入保留至小数点后两位</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投资管理费：本产品的投资管理费每日计提，按月支付，由管理人收取。计算方法如下：</w:t>
      </w:r>
    </w:p>
    <w:p>
      <w:pPr>
        <w:ind w:firstLine="480" w:firstLineChars="200"/>
        <w:rPr>
          <w:rFonts w:ascii="楷体" w:hAnsi="楷体" w:eastAsia="楷体"/>
          <w:sz w:val="24"/>
          <w:szCs w:val="24"/>
        </w:rPr>
      </w:pPr>
      <w:r>
        <w:rPr>
          <w:rFonts w:hint="eastAsia" w:ascii="楷体" w:hAnsi="楷体" w:eastAsia="楷体"/>
          <w:sz w:val="24"/>
          <w:szCs w:val="24"/>
        </w:rPr>
        <w:t>每日应计提的投资管理费＝前一日的产品资产净值×投资管理费率÷</w:t>
      </w:r>
      <w:r>
        <w:rPr>
          <w:rFonts w:ascii="楷体" w:hAnsi="楷体" w:eastAsia="楷体"/>
          <w:sz w:val="24"/>
          <w:szCs w:val="24"/>
        </w:rPr>
        <w:t>365</w:t>
      </w:r>
    </w:p>
    <w:p>
      <w:pPr>
        <w:ind w:firstLine="480" w:firstLineChars="200"/>
        <w:rPr>
          <w:rFonts w:ascii="楷体" w:hAnsi="楷体" w:eastAsia="楷体"/>
          <w:sz w:val="24"/>
          <w:szCs w:val="24"/>
        </w:rPr>
      </w:pPr>
      <w:r>
        <w:rPr>
          <w:rFonts w:hint="eastAsia" w:ascii="楷体" w:hAnsi="楷体" w:eastAsia="楷体"/>
          <w:sz w:val="24"/>
          <w:szCs w:val="24"/>
        </w:rPr>
        <w:t>四舍五入保留至小数点后两位</w:t>
      </w:r>
    </w:p>
    <w:p>
      <w:pPr>
        <w:numPr>
          <w:ilvl w:val="0"/>
          <w:numId w:val="31"/>
        </w:numPr>
        <w:tabs>
          <w:tab w:val="left" w:pos="728"/>
        </w:tabs>
        <w:ind w:left="0" w:firstLine="480" w:firstLineChars="200"/>
        <w:rPr>
          <w:rFonts w:ascii="楷体" w:hAnsi="楷体" w:eastAsia="楷体"/>
          <w:sz w:val="24"/>
          <w:szCs w:val="24"/>
        </w:rPr>
      </w:pPr>
      <w:r>
        <w:rPr>
          <w:rFonts w:hint="eastAsia" w:ascii="楷体" w:hAnsi="楷体" w:eastAsia="楷体" w:cs="Calibri"/>
          <w:sz w:val="24"/>
          <w:szCs w:val="24"/>
        </w:rPr>
        <w:t>超额业绩报酬</w:t>
      </w:r>
      <w:r>
        <w:rPr>
          <w:rFonts w:hint="eastAsia" w:ascii="楷体" w:hAnsi="楷体" w:eastAsia="楷体"/>
          <w:sz w:val="24"/>
          <w:szCs w:val="24"/>
        </w:rPr>
        <w:t>：若产品各份额实际投资收益在扣除托管费、销售服务费、投资管理费</w:t>
      </w:r>
      <w:r>
        <w:rPr>
          <w:rFonts w:hint="eastAsia" w:ascii="楷体" w:hAnsi="楷体" w:eastAsia="楷体"/>
          <w:sz w:val="24"/>
          <w:szCs w:val="24"/>
          <w:lang w:val="en-US" w:eastAsia="zh-CN"/>
        </w:rPr>
        <w:t>等费用</w:t>
      </w:r>
      <w:r>
        <w:rPr>
          <w:rFonts w:hint="eastAsia" w:ascii="楷体" w:hAnsi="楷体" w:eastAsia="楷体"/>
          <w:sz w:val="24"/>
          <w:szCs w:val="24"/>
        </w:rPr>
        <w:t>后超过各份额业绩比较基准，产品管理人将按照超出部分的</w:t>
      </w:r>
      <w:r>
        <w:rPr>
          <w:rFonts w:hint="eastAsia" w:ascii="楷体" w:hAnsi="楷体" w:eastAsia="楷体"/>
          <w:sz w:val="24"/>
          <w:szCs w:val="24"/>
          <w:lang w:val="en-US" w:eastAsia="zh-CN"/>
        </w:rPr>
        <w:t>5</w:t>
      </w:r>
      <w:r>
        <w:rPr>
          <w:rFonts w:hint="eastAsia" w:ascii="楷体" w:hAnsi="楷体" w:eastAsia="楷体"/>
          <w:sz w:val="24"/>
          <w:szCs w:val="24"/>
        </w:rPr>
        <w:t>0%收取超额业绩报酬。</w:t>
      </w:r>
    </w:p>
    <w:p>
      <w:pPr>
        <w:tabs>
          <w:tab w:val="left" w:pos="728"/>
        </w:tabs>
        <w:ind w:firstLine="480" w:firstLineChars="200"/>
        <w:rPr>
          <w:rFonts w:ascii="楷体" w:hAnsi="楷体" w:eastAsia="楷体"/>
          <w:sz w:val="24"/>
          <w:szCs w:val="24"/>
        </w:rPr>
      </w:pPr>
      <w:r>
        <w:rPr>
          <w:rFonts w:hint="eastAsia" w:ascii="楷体" w:hAnsi="楷体" w:eastAsia="楷体"/>
          <w:sz w:val="24"/>
          <w:szCs w:val="24"/>
        </w:rPr>
        <w:t>产品存续期内理财产品将每日暂估超额业绩报酬，仅用于理财产品会计核算，并将扣除“暂估超额业绩报酬”后的理财产品份额净值按照说明书约定向投资者进行披露。理财产品实际的超额业绩报酬以到期日计提核算的数值为准。计算累计年化收益率和业绩比较基准时，1年按365日计算。</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highlight w:val="none"/>
        </w:rPr>
        <w:t>产品管理人有权根据市场情况等调整上述各项费用费率和超额业绩报酬收取方式及比例，产品管理人将于调整事项生效前2个工作日通过短信及苏银理财有限责任公司官方网站（www.suyinwealth.com）、销售机构电子渠道和营业网点等方式进行信息披露。如投资者不接受的，可在公告约定的期限内赎回本产品，此种情况下产品管理人将可能开放赎回，具体以届时产品管理人公告为准；如投资者未赎回本产品，则视为本理财产品投资者接受相关调整且同意在调整后继续持有本理财产品。本产品不收取认购费用、申购费用、赎回费用。</w:t>
      </w:r>
    </w:p>
    <w:p>
      <w:pPr>
        <w:numPr>
          <w:ilvl w:val="0"/>
          <w:numId w:val="11"/>
        </w:numPr>
        <w:tabs>
          <w:tab w:val="left" w:pos="1428"/>
        </w:tabs>
        <w:ind w:firstLine="562" w:firstLineChars="200"/>
        <w:rPr>
          <w:rFonts w:ascii="楷体" w:hAnsi="楷体" w:eastAsia="楷体"/>
          <w:b/>
          <w:sz w:val="28"/>
          <w:szCs w:val="28"/>
        </w:rPr>
      </w:pPr>
      <w:r>
        <w:rPr>
          <w:rFonts w:hint="eastAsia" w:ascii="楷体" w:hAnsi="楷体" w:eastAsia="楷体"/>
          <w:b/>
          <w:sz w:val="28"/>
          <w:szCs w:val="28"/>
        </w:rPr>
        <w:t>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0"/>
          <w:numId w:val="11"/>
        </w:numPr>
        <w:tabs>
          <w:tab w:val="left" w:pos="1414"/>
        </w:tabs>
        <w:ind w:firstLine="562" w:firstLineChars="200"/>
        <w:rPr>
          <w:rFonts w:ascii="楷体" w:hAnsi="楷体" w:eastAsia="楷体"/>
          <w:b/>
          <w:sz w:val="28"/>
          <w:szCs w:val="28"/>
        </w:rPr>
      </w:pPr>
      <w:r>
        <w:rPr>
          <w:rFonts w:hint="eastAsia" w:ascii="楷体" w:hAnsi="楷体" w:eastAsia="楷体"/>
          <w:b/>
          <w:sz w:val="28"/>
          <w:szCs w:val="28"/>
        </w:rPr>
        <w:t>产品托管人</w:t>
      </w:r>
    </w:p>
    <w:p>
      <w:pPr>
        <w:numPr>
          <w:ilvl w:val="0"/>
          <w:numId w:val="3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托管人职责</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0"/>
          <w:numId w:val="11"/>
        </w:numPr>
        <w:tabs>
          <w:tab w:val="left" w:pos="1428"/>
        </w:tabs>
        <w:ind w:firstLine="562" w:firstLineChars="200"/>
        <w:rPr>
          <w:rFonts w:ascii="楷体" w:hAnsi="楷体" w:eastAsia="楷体"/>
          <w:b/>
          <w:sz w:val="28"/>
          <w:szCs w:val="28"/>
        </w:rPr>
      </w:pPr>
      <w:r>
        <w:rPr>
          <w:rFonts w:hint="eastAsia" w:ascii="楷体" w:hAnsi="楷体" w:eastAsia="楷体"/>
          <w:b/>
          <w:sz w:val="28"/>
          <w:szCs w:val="28"/>
        </w:rPr>
        <w:t>信息披露</w:t>
      </w:r>
    </w:p>
    <w:p>
      <w:pPr>
        <w:numPr>
          <w:ilvl w:val="0"/>
          <w:numId w:val="34"/>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信息披露内容</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34"/>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信息披露频率</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产品净值披露：每周向投资者披露一次产品的资产净值和份额净值。</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半年度整体报告：每半年披露从事理财业务活动的有关信息。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账单：管理人每月向投资者提供其所持有的理财产品账单，账单内容包括但不限于投资者持有的理财产品份额、认购金额、份额单位净值、份额累计净值、资产净值、收益情况、投资者理财交易账户发生的交易明细记录等信息。</w:t>
      </w:r>
    </w:p>
    <w:p>
      <w:pPr>
        <w:numPr>
          <w:ilvl w:val="0"/>
          <w:numId w:val="34"/>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信息披露方式</w:t>
      </w:r>
    </w:p>
    <w:p>
      <w:pPr>
        <w:ind w:firstLine="480" w:firstLineChars="200"/>
        <w:rPr>
          <w:rFonts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rPr>
        <w:t>www</w:t>
      </w:r>
      <w:r>
        <w:rPr>
          <w:rFonts w:hint="eastAsia" w:ascii="楷体" w:hAnsi="楷体" w:eastAsia="楷体" w:cs="Calibri"/>
          <w:sz w:val="24"/>
          <w:szCs w:val="24"/>
        </w:rPr>
        <w:t>.</w:t>
      </w:r>
      <w:r>
        <w:rPr>
          <w:rFonts w:ascii="楷体" w:hAnsi="楷体" w:eastAsia="楷体" w:cs="Calibri"/>
          <w:sz w:val="24"/>
          <w:szCs w:val="24"/>
        </w:rPr>
        <w:t>suyinwealth</w:t>
      </w:r>
      <w:r>
        <w:rPr>
          <w:rFonts w:hint="eastAsia" w:ascii="楷体" w:hAnsi="楷体" w:eastAsia="楷体" w:cs="Calibri"/>
          <w:sz w:val="24"/>
          <w:szCs w:val="24"/>
        </w:rPr>
        <w:t>.</w:t>
      </w:r>
      <w:r>
        <w:rPr>
          <w:rFonts w:ascii="楷体" w:hAnsi="楷体" w:eastAsia="楷体" w:cs="Calibri"/>
          <w:sz w:val="24"/>
          <w:szCs w:val="24"/>
        </w:rPr>
        <w:t>com</w:t>
      </w:r>
      <w:r>
        <w:rPr>
          <w:rFonts w:hint="eastAsia" w:ascii="楷体" w:hAnsi="楷体" w:eastAsia="楷体" w:cs="Calibri"/>
          <w:sz w:val="24"/>
          <w:szCs w:val="24"/>
        </w:rPr>
        <w:t>）进行信息披露。</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苏银理财将信息披露内容发送销售机构，由销售机构通过短信及销售机构电子渠道和营业网点等方式进行信息披露。</w:t>
      </w:r>
    </w:p>
    <w:p>
      <w:pPr>
        <w:ind w:firstLine="480" w:firstLineChars="200"/>
        <w:rPr>
          <w:rFonts w:ascii="楷体" w:hAnsi="楷体" w:eastAsia="楷体"/>
          <w:sz w:val="24"/>
          <w:szCs w:val="24"/>
        </w:rPr>
      </w:pPr>
      <w:r>
        <w:rPr>
          <w:rFonts w:hint="eastAsia" w:ascii="楷体" w:hAnsi="楷体" w:eastAsia="楷体"/>
          <w:sz w:val="24"/>
          <w:szCs w:val="24"/>
        </w:rPr>
        <w:t>相关信息在发布或发出之日视为通知已送达投资者并生效，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请投资者及时登陆苏银理财有限责任公司官方网站或者向销售机构查询获取披露信息。</w:t>
      </w:r>
    </w:p>
    <w:p>
      <w:pPr>
        <w:numPr>
          <w:ilvl w:val="0"/>
          <w:numId w:val="11"/>
        </w:numPr>
        <w:tabs>
          <w:tab w:val="left" w:pos="1428"/>
        </w:tabs>
        <w:ind w:firstLine="562" w:firstLineChars="200"/>
        <w:rPr>
          <w:rFonts w:ascii="楷体" w:hAnsi="楷体" w:eastAsia="楷体"/>
          <w:b/>
          <w:sz w:val="28"/>
          <w:szCs w:val="28"/>
        </w:rPr>
      </w:pPr>
      <w:r>
        <w:rPr>
          <w:rFonts w:hint="eastAsia" w:ascii="楷体" w:hAnsi="楷体" w:eastAsia="楷体"/>
          <w:b/>
          <w:sz w:val="28"/>
          <w:szCs w:val="28"/>
        </w:rPr>
        <w:t>其他</w:t>
      </w:r>
    </w:p>
    <w:p>
      <w:pPr>
        <w:numPr>
          <w:ilvl w:val="0"/>
          <w:numId w:val="3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信息安全</w:t>
      </w:r>
    </w:p>
    <w:p>
      <w:pPr>
        <w:ind w:firstLine="480" w:firstLineChars="200"/>
        <w:rPr>
          <w:rFonts w:ascii="楷体" w:hAnsi="楷体" w:eastAsia="楷体"/>
          <w:sz w:val="24"/>
          <w:szCs w:val="24"/>
        </w:rPr>
      </w:pPr>
      <w:r>
        <w:rPr>
          <w:rFonts w:hint="eastAsia" w:ascii="楷体" w:hAnsi="楷体" w:eastAsia="楷体"/>
          <w:sz w:val="24"/>
          <w:szCs w:val="24"/>
        </w:rPr>
        <w:t>苏银理财及销售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接触并按照苏银理财的业务要求以及“最少必须”原则使用投资人个人信息。苏银理财承诺将向有关第三方明确其保护投资人信息的职责并要求第三方承担相应的保密义务。</w:t>
      </w:r>
    </w:p>
    <w:p>
      <w:pPr>
        <w:numPr>
          <w:ilvl w:val="0"/>
          <w:numId w:val="38"/>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争议解决</w:t>
      </w:r>
    </w:p>
    <w:p>
      <w:pPr>
        <w:ind w:firstLine="480" w:firstLineChars="200"/>
        <w:jc w:val="left"/>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jc w:val="left"/>
        <w:rPr>
          <w:rFonts w:ascii="楷体" w:hAnsi="楷体" w:eastAsia="楷体"/>
        </w:rPr>
      </w:pPr>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bookmarkEnd w:id="1"/>
    </w:p>
    <w:bookmarkEnd w:id="2"/>
    <w:p>
      <w:pPr>
        <w:rPr>
          <w:rFonts w:ascii="楷体" w:hAnsi="楷体" w:eastAsia="楷体"/>
          <w:b/>
          <w:sz w:val="36"/>
          <w:szCs w:val="36"/>
        </w:rPr>
      </w:pPr>
      <w:r>
        <w:rPr>
          <w:rFonts w:hint="eastAsia" w:ascii="楷体" w:hAnsi="楷体" w:eastAsia="楷体"/>
          <w:b/>
          <w:sz w:val="36"/>
          <w:szCs w:val="36"/>
        </w:rPr>
        <w:br w:type="page"/>
      </w:r>
    </w:p>
    <w:p>
      <w:pPr>
        <w:jc w:val="center"/>
        <w:rPr>
          <w:rFonts w:ascii="楷体" w:hAnsi="楷体" w:eastAsia="楷体"/>
          <w:b/>
          <w:sz w:val="36"/>
          <w:szCs w:val="36"/>
        </w:rPr>
      </w:pPr>
      <w:r>
        <w:rPr>
          <w:rFonts w:hint="eastAsia" w:ascii="楷体" w:hAnsi="楷体" w:eastAsia="楷体"/>
          <w:b/>
          <w:sz w:val="36"/>
          <w:szCs w:val="36"/>
        </w:rPr>
        <w:t>苏银理财有限责任公司理财产品投资协议书</w:t>
      </w:r>
    </w:p>
    <w:p>
      <w:pPr>
        <w:jc w:val="center"/>
        <w:rPr>
          <w:rFonts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ascii="楷体" w:hAnsi="楷体" w:eastAsia="楷体"/>
          <w:sz w:val="24"/>
          <w:szCs w:val="24"/>
        </w:rPr>
      </w:pPr>
      <w:r>
        <w:rPr>
          <w:rFonts w:hint="eastAsia" w:ascii="楷体" w:hAnsi="楷体" w:eastAsia="楷体"/>
          <w:sz w:val="24"/>
          <w:szCs w:val="24"/>
        </w:rPr>
        <w:t>经甲方（投资人）与乙方（苏银理财有限责任公司，以下简称“苏银理财”）协商一致，就甲方向乙方购买理财产品，达成协议如下：</w:t>
      </w:r>
    </w:p>
    <w:p>
      <w:pPr>
        <w:ind w:firstLine="482" w:firstLineChars="200"/>
        <w:rPr>
          <w:rFonts w:ascii="楷体" w:hAnsi="楷体" w:eastAsia="楷体"/>
          <w:b/>
          <w:sz w:val="24"/>
          <w:szCs w:val="24"/>
        </w:rPr>
      </w:pPr>
      <w:r>
        <w:rPr>
          <w:rFonts w:hint="eastAsia" w:ascii="楷体" w:hAnsi="楷体" w:eastAsia="楷体"/>
          <w:b/>
          <w:sz w:val="24"/>
          <w:szCs w:val="24"/>
        </w:rPr>
        <w:t>一、重要声明</w:t>
      </w:r>
    </w:p>
    <w:p>
      <w:pPr>
        <w:ind w:firstLine="480" w:firstLineChars="200"/>
        <w:rPr>
          <w:rFonts w:ascii="楷体" w:hAnsi="楷体" w:eastAsia="楷体"/>
          <w:sz w:val="24"/>
          <w:szCs w:val="24"/>
        </w:rPr>
      </w:pPr>
      <w:r>
        <w:rPr>
          <w:rFonts w:hint="eastAsia" w:ascii="楷体" w:hAnsi="楷体" w:eastAsia="楷体"/>
          <w:sz w:val="24"/>
          <w:szCs w:val="24"/>
        </w:rPr>
        <w:t>本投资协议书与理财产品（代理）销售协议书、理财产品说明书、风险揭示书、投资者权益须知等销售文件构成完整的不可分割的理财产品合同。乙方作为理财产品管理人建议投资者在购买对应期次理财产品（以下简称“本理财产品”）前认真阅读相关理财产品合同或咨询专业理财经理。甲方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乙方在理财产品风险揭示书中揭示。请您充分认识投资风险，谨慎投资。</w:t>
      </w:r>
    </w:p>
    <w:p>
      <w:pPr>
        <w:ind w:firstLine="482" w:firstLineChars="200"/>
        <w:rPr>
          <w:rFonts w:ascii="楷体" w:hAnsi="楷体" w:eastAsia="楷体"/>
          <w:b/>
          <w:sz w:val="24"/>
          <w:szCs w:val="24"/>
        </w:rPr>
      </w:pPr>
      <w:r>
        <w:rPr>
          <w:rFonts w:hint="eastAsia" w:ascii="楷体" w:hAnsi="楷体" w:eastAsia="楷体"/>
          <w:b/>
          <w:sz w:val="24"/>
          <w:szCs w:val="24"/>
        </w:rPr>
        <w:t>二、甲方的权利义务</w:t>
      </w:r>
    </w:p>
    <w:p>
      <w:pPr>
        <w:ind w:firstLine="482" w:firstLineChars="200"/>
        <w:rPr>
          <w:rFonts w:ascii="楷体" w:hAnsi="楷体" w:eastAsia="楷体"/>
          <w:b/>
          <w:bCs/>
          <w:sz w:val="24"/>
          <w:szCs w:val="24"/>
        </w:rPr>
      </w:pPr>
      <w:r>
        <w:rPr>
          <w:rFonts w:hint="eastAsia" w:ascii="楷体" w:hAnsi="楷体" w:eastAsia="楷体"/>
          <w:b/>
          <w:bCs/>
          <w:sz w:val="24"/>
          <w:szCs w:val="24"/>
        </w:rPr>
        <w:t>甲方声明：</w:t>
      </w:r>
    </w:p>
    <w:p>
      <w:pPr>
        <w:numPr>
          <w:ilvl w:val="0"/>
          <w:numId w:val="39"/>
        </w:numPr>
        <w:ind w:firstLine="480" w:firstLineChars="200"/>
        <w:rPr>
          <w:rFonts w:ascii="楷体" w:hAnsi="楷体" w:eastAsia="楷体"/>
          <w:sz w:val="24"/>
          <w:szCs w:val="24"/>
        </w:rPr>
      </w:pPr>
      <w:r>
        <w:rPr>
          <w:rFonts w:hint="eastAsia" w:ascii="楷体" w:hAnsi="楷体" w:eastAsia="楷体"/>
          <w:sz w:val="24"/>
          <w:szCs w:val="24"/>
        </w:rPr>
        <w:t xml:space="preserve">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服务机构开展反洗钱、反恐怖融资及非居民金融账户涉税信息尽职调查等相关法律法规要求的识别客户身份工作，及时、真实、准确、完整地提供身份信息及资金来源信息。 </w:t>
      </w:r>
    </w:p>
    <w:p>
      <w:pPr>
        <w:ind w:firstLine="480" w:firstLineChars="200"/>
        <w:rPr>
          <w:rFonts w:ascii="楷体" w:hAnsi="楷体" w:eastAsia="楷体"/>
          <w:sz w:val="24"/>
          <w:szCs w:val="24"/>
        </w:rPr>
      </w:pPr>
      <w:r>
        <w:rPr>
          <w:rFonts w:hint="eastAsia" w:ascii="楷体" w:hAnsi="楷体" w:eastAsia="楷体"/>
          <w:sz w:val="24"/>
          <w:szCs w:val="24"/>
        </w:rPr>
        <w:t>2. 甲方承诺所提供的所有资料真实、完整、合法、有效，如有变更，甲方应及时到乙方或销售服务机构办理变更手续。若甲方未及时办理相关变更手续，由此导致的一切后果由甲方自行承担，乙方对此不承担任何责任。</w:t>
      </w:r>
    </w:p>
    <w:p>
      <w:pPr>
        <w:ind w:firstLine="480" w:firstLineChars="200"/>
        <w:rPr>
          <w:rFonts w:ascii="楷体" w:hAnsi="楷体" w:eastAsia="楷体"/>
          <w:sz w:val="24"/>
          <w:szCs w:val="24"/>
        </w:rPr>
      </w:pPr>
      <w:r>
        <w:rPr>
          <w:rFonts w:hint="eastAsia" w:ascii="楷体" w:hAnsi="楷体" w:eastAsia="楷体"/>
          <w:sz w:val="24"/>
          <w:szCs w:val="24"/>
        </w:rPr>
        <w:t>3. 甲方购买本理财产品的行为即视为对理财产品合同的承认和接受，甲方自取得依据理财产品合同发行的理财产品份额，即成为理财产品投资者和理财产品合同当事人。甲方作为当事人并不以在理财产品合同上书面签章或签字为必要条件。</w:t>
      </w:r>
    </w:p>
    <w:p>
      <w:pPr>
        <w:ind w:firstLine="482" w:firstLineChars="200"/>
        <w:rPr>
          <w:rFonts w:ascii="楷体" w:hAnsi="楷体" w:eastAsia="楷体"/>
          <w:b/>
          <w:sz w:val="24"/>
          <w:szCs w:val="24"/>
        </w:rPr>
      </w:pPr>
      <w:r>
        <w:rPr>
          <w:rFonts w:hint="eastAsia" w:ascii="楷体" w:hAnsi="楷体" w:eastAsia="楷体"/>
          <w:b/>
          <w:sz w:val="24"/>
          <w:szCs w:val="24"/>
        </w:rPr>
        <w:t>（一）甲方的权利：</w:t>
      </w:r>
    </w:p>
    <w:p>
      <w:pPr>
        <w:ind w:left="480"/>
        <w:rPr>
          <w:rFonts w:ascii="楷体" w:hAnsi="楷体" w:eastAsia="楷体"/>
          <w:sz w:val="24"/>
          <w:szCs w:val="24"/>
        </w:rPr>
      </w:pPr>
      <w:r>
        <w:rPr>
          <w:rFonts w:hint="eastAsia" w:ascii="楷体" w:hAnsi="楷体" w:eastAsia="楷体"/>
          <w:sz w:val="24"/>
          <w:szCs w:val="24"/>
        </w:rPr>
        <w:t>1. 按理财产品合同的约定取得理财收益（如有）；</w:t>
      </w:r>
    </w:p>
    <w:p>
      <w:pPr>
        <w:ind w:left="480"/>
        <w:rPr>
          <w:rFonts w:ascii="楷体" w:hAnsi="楷体" w:eastAsia="楷体"/>
          <w:sz w:val="24"/>
          <w:szCs w:val="24"/>
        </w:rPr>
      </w:pPr>
      <w:r>
        <w:rPr>
          <w:rFonts w:hint="eastAsia" w:ascii="楷体" w:hAnsi="楷体" w:eastAsia="楷体"/>
          <w:sz w:val="24"/>
          <w:szCs w:val="24"/>
        </w:rPr>
        <w:t>2. 按理财产品合同的约定查询获得公开披露的理财产品信息资料；</w:t>
      </w:r>
    </w:p>
    <w:p>
      <w:pPr>
        <w:ind w:left="480"/>
        <w:rPr>
          <w:rFonts w:ascii="楷体" w:hAnsi="楷体" w:eastAsia="楷体"/>
          <w:sz w:val="24"/>
          <w:szCs w:val="24"/>
        </w:rPr>
      </w:pPr>
      <w:r>
        <w:rPr>
          <w:rFonts w:hint="eastAsia" w:ascii="楷体" w:hAnsi="楷体" w:eastAsia="楷体"/>
          <w:sz w:val="24"/>
          <w:szCs w:val="24"/>
        </w:rPr>
        <w:t>3. 产品终止后对清算后的理财产品资产净值按理财产品持有份额比例参与</w:t>
      </w:r>
    </w:p>
    <w:p>
      <w:pPr>
        <w:rPr>
          <w:rFonts w:ascii="楷体" w:hAnsi="楷体" w:eastAsia="楷体"/>
          <w:sz w:val="24"/>
          <w:szCs w:val="24"/>
        </w:rPr>
      </w:pPr>
      <w:r>
        <w:rPr>
          <w:rFonts w:hint="eastAsia" w:ascii="楷体" w:hAnsi="楷体" w:eastAsia="楷体"/>
          <w:sz w:val="24"/>
          <w:szCs w:val="24"/>
        </w:rPr>
        <w:t>分配；</w:t>
      </w:r>
    </w:p>
    <w:p>
      <w:pPr>
        <w:rPr>
          <w:rFonts w:ascii="楷体" w:hAnsi="楷体" w:eastAsia="楷体"/>
          <w:sz w:val="24"/>
          <w:szCs w:val="24"/>
        </w:rPr>
      </w:pPr>
      <w:r>
        <w:rPr>
          <w:rFonts w:hint="eastAsia" w:ascii="楷体" w:hAnsi="楷体" w:eastAsia="楷体"/>
          <w:sz w:val="24"/>
          <w:szCs w:val="24"/>
        </w:rPr>
        <w:t xml:space="preserve">    4. 要求乙方或理财产品托管人及时履行法律法规、理财产品合同所规定的义务；</w:t>
      </w:r>
    </w:p>
    <w:p>
      <w:pPr>
        <w:numPr>
          <w:ilvl w:val="0"/>
          <w:numId w:val="40"/>
        </w:numPr>
        <w:tabs>
          <w:tab w:val="left" w:pos="743"/>
        </w:tabs>
        <w:ind w:left="480"/>
        <w:rPr>
          <w:rFonts w:ascii="楷体" w:hAnsi="楷体" w:eastAsia="楷体"/>
          <w:sz w:val="24"/>
          <w:szCs w:val="24"/>
        </w:rPr>
      </w:pPr>
      <w:r>
        <w:rPr>
          <w:rFonts w:hint="eastAsia" w:ascii="楷体" w:hAnsi="楷体" w:eastAsia="楷体"/>
          <w:sz w:val="24"/>
          <w:szCs w:val="24"/>
        </w:rPr>
        <w:t>对乙方、理财产品托管人损害其合法权益的行为而要求予以赔偿；</w:t>
      </w:r>
    </w:p>
    <w:p>
      <w:pPr>
        <w:numPr>
          <w:ilvl w:val="0"/>
          <w:numId w:val="40"/>
        </w:numPr>
        <w:ind w:left="480"/>
        <w:rPr>
          <w:rFonts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rPr>
          <w:rFonts w:ascii="楷体" w:hAnsi="楷体" w:eastAsia="楷体"/>
          <w:b/>
          <w:sz w:val="24"/>
          <w:szCs w:val="24"/>
        </w:rPr>
      </w:pPr>
      <w:r>
        <w:rPr>
          <w:rFonts w:hint="eastAsia" w:ascii="楷体" w:hAnsi="楷体" w:eastAsia="楷体"/>
          <w:b/>
          <w:sz w:val="24"/>
          <w:szCs w:val="24"/>
        </w:rPr>
        <w:t>（二）甲方的义务：</w:t>
      </w:r>
    </w:p>
    <w:p>
      <w:pPr>
        <w:ind w:left="426"/>
        <w:rPr>
          <w:rFonts w:ascii="楷体" w:hAnsi="楷体" w:eastAsia="楷体"/>
          <w:sz w:val="24"/>
          <w:szCs w:val="24"/>
        </w:rPr>
      </w:pPr>
      <w:r>
        <w:rPr>
          <w:rFonts w:hint="eastAsia" w:ascii="楷体" w:hAnsi="楷体" w:eastAsia="楷体"/>
          <w:sz w:val="24"/>
          <w:szCs w:val="24"/>
        </w:rPr>
        <w:t>1. 遵守有关法律法规和理财产品合同的约定；</w:t>
      </w:r>
    </w:p>
    <w:p>
      <w:pPr>
        <w:ind w:firstLine="425"/>
        <w:rPr>
          <w:rFonts w:ascii="楷体" w:hAnsi="楷体" w:eastAsia="楷体"/>
          <w:sz w:val="24"/>
          <w:szCs w:val="24"/>
        </w:rPr>
      </w:pPr>
      <w:r>
        <w:rPr>
          <w:rFonts w:hint="eastAsia" w:ascii="楷体" w:hAnsi="楷体" w:eastAsia="楷体"/>
          <w:sz w:val="24"/>
          <w:szCs w:val="24"/>
        </w:rPr>
        <w:t>2. 缴纳理财产品认购、申购和赎回等事宜涉及的款项及理财产品合同规定的费用；</w:t>
      </w:r>
    </w:p>
    <w:p>
      <w:pPr>
        <w:ind w:firstLine="425"/>
        <w:rPr>
          <w:rFonts w:ascii="楷体" w:hAnsi="楷体" w:eastAsia="楷体" w:cs="楷体"/>
          <w:sz w:val="24"/>
          <w:szCs w:val="24"/>
        </w:rPr>
      </w:pPr>
      <w:r>
        <w:rPr>
          <w:rFonts w:hint="eastAsia" w:ascii="楷体" w:hAnsi="楷体" w:eastAsia="楷体" w:cs="楷体"/>
          <w:sz w:val="24"/>
          <w:szCs w:val="24"/>
        </w:rPr>
        <w:t>3. 以其对理财产品的投资额为限承担本理财产品亏损或者终止的有限责任；</w:t>
      </w:r>
    </w:p>
    <w:p>
      <w:pPr>
        <w:numPr>
          <w:ilvl w:val="0"/>
          <w:numId w:val="41"/>
        </w:numPr>
        <w:ind w:left="426"/>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ascii="楷体" w:hAnsi="楷体" w:eastAsia="楷体"/>
          <w:sz w:val="24"/>
          <w:szCs w:val="24"/>
        </w:rPr>
      </w:pPr>
      <w:r>
        <w:rPr>
          <w:rFonts w:hint="eastAsia" w:ascii="楷体" w:hAnsi="楷体" w:eastAsia="楷体"/>
          <w:sz w:val="24"/>
          <w:szCs w:val="24"/>
        </w:rPr>
        <w:t>权益的活动；</w:t>
      </w:r>
    </w:p>
    <w:p>
      <w:pPr>
        <w:numPr>
          <w:ilvl w:val="0"/>
          <w:numId w:val="41"/>
        </w:numPr>
        <w:ind w:left="426"/>
        <w:rPr>
          <w:rFonts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41"/>
        </w:numPr>
        <w:ind w:left="426"/>
        <w:rPr>
          <w:rFonts w:ascii="楷体" w:hAnsi="楷体" w:eastAsia="楷体"/>
          <w:sz w:val="24"/>
          <w:szCs w:val="24"/>
        </w:rPr>
      </w:pPr>
      <w:r>
        <w:rPr>
          <w:rFonts w:hint="eastAsia" w:ascii="楷体" w:hAnsi="楷体" w:eastAsia="楷体"/>
          <w:sz w:val="24"/>
          <w:szCs w:val="24"/>
        </w:rPr>
        <w:t>法律法规以及理财产品合同所规定的其它义务。</w:t>
      </w:r>
    </w:p>
    <w:p>
      <w:pPr>
        <w:ind w:firstLine="482" w:firstLineChars="200"/>
        <w:rPr>
          <w:rFonts w:ascii="楷体" w:hAnsi="楷体" w:eastAsia="楷体"/>
          <w:b/>
          <w:sz w:val="24"/>
          <w:szCs w:val="24"/>
        </w:rPr>
      </w:pPr>
      <w:r>
        <w:rPr>
          <w:rFonts w:hint="eastAsia" w:ascii="楷体" w:hAnsi="楷体" w:eastAsia="楷体"/>
          <w:b/>
          <w:sz w:val="24"/>
          <w:szCs w:val="24"/>
        </w:rPr>
        <w:t>三、乙方的权利义务</w:t>
      </w:r>
    </w:p>
    <w:p>
      <w:pPr>
        <w:ind w:firstLine="482" w:firstLineChars="200"/>
        <w:rPr>
          <w:rFonts w:ascii="楷体" w:hAnsi="楷体" w:eastAsia="楷体"/>
          <w:b/>
          <w:sz w:val="24"/>
          <w:szCs w:val="24"/>
        </w:rPr>
      </w:pPr>
      <w:r>
        <w:rPr>
          <w:rFonts w:hint="eastAsia" w:ascii="楷体" w:hAnsi="楷体" w:eastAsia="楷体"/>
          <w:b/>
          <w:sz w:val="24"/>
          <w:szCs w:val="24"/>
        </w:rPr>
        <w:t>（一）乙方的权利：</w:t>
      </w:r>
    </w:p>
    <w:p>
      <w:pPr>
        <w:ind w:firstLine="425"/>
        <w:rPr>
          <w:rFonts w:ascii="楷体" w:hAnsi="楷体" w:eastAsia="楷体"/>
          <w:sz w:val="24"/>
          <w:szCs w:val="24"/>
        </w:rPr>
      </w:pPr>
      <w:r>
        <w:rPr>
          <w:rFonts w:hint="eastAsia" w:ascii="楷体" w:hAnsi="楷体" w:eastAsia="楷体"/>
          <w:sz w:val="24"/>
          <w:szCs w:val="24"/>
        </w:rPr>
        <w:t>1. 乙方按照法律法规和《理财产品说明书》及《风险揭示书》的约定，诚实信用、谨慎勤勉地实施投资管理行为，以专业技能管理理财产品资产，依法维护理财产品全体投资者的利益；</w:t>
      </w:r>
    </w:p>
    <w:p>
      <w:pPr>
        <w:numPr>
          <w:ilvl w:val="0"/>
          <w:numId w:val="42"/>
        </w:numPr>
        <w:ind w:left="426"/>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42"/>
        </w:numPr>
        <w:ind w:left="426"/>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42"/>
        </w:numPr>
        <w:ind w:left="426"/>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42"/>
        </w:numPr>
        <w:ind w:left="426"/>
        <w:rPr>
          <w:rFonts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42"/>
        </w:numPr>
        <w:ind w:left="426"/>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ascii="楷体" w:hAnsi="楷体" w:eastAsia="楷体"/>
          <w:sz w:val="24"/>
          <w:szCs w:val="24"/>
        </w:rPr>
      </w:pPr>
      <w:r>
        <w:rPr>
          <w:rFonts w:hint="eastAsia" w:ascii="楷体" w:hAnsi="楷体" w:eastAsia="楷体"/>
          <w:sz w:val="24"/>
          <w:szCs w:val="24"/>
        </w:rPr>
        <w:t>品行使因投资于其它证券所产生的权利；</w:t>
      </w:r>
    </w:p>
    <w:p>
      <w:pPr>
        <w:ind w:firstLine="425"/>
        <w:rPr>
          <w:rFonts w:ascii="楷体" w:hAnsi="楷体" w:eastAsia="楷体"/>
          <w:sz w:val="24"/>
          <w:szCs w:val="24"/>
        </w:rPr>
      </w:pPr>
      <w:r>
        <w:rPr>
          <w:rFonts w:hint="eastAsia" w:ascii="楷体" w:hAnsi="楷体" w:eastAsia="楷体"/>
          <w:sz w:val="24"/>
          <w:szCs w:val="24"/>
        </w:rPr>
        <w:t>7. 以乙方名义，代表理财份额持有人利益行使诉讼权利或者实施其他法律行为；</w:t>
      </w:r>
    </w:p>
    <w:p>
      <w:pPr>
        <w:numPr>
          <w:ilvl w:val="0"/>
          <w:numId w:val="43"/>
        </w:numPr>
        <w:ind w:left="426"/>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ascii="楷体" w:hAnsi="楷体" w:eastAsia="楷体"/>
          <w:sz w:val="24"/>
          <w:szCs w:val="24"/>
        </w:rPr>
      </w:pPr>
      <w:r>
        <w:rPr>
          <w:rFonts w:hint="eastAsia" w:ascii="楷体" w:hAnsi="楷体" w:eastAsia="楷体"/>
          <w:sz w:val="24"/>
          <w:szCs w:val="24"/>
        </w:rPr>
        <w:t>部机构并确定有关费率；</w:t>
      </w:r>
    </w:p>
    <w:p>
      <w:pPr>
        <w:numPr>
          <w:ilvl w:val="0"/>
          <w:numId w:val="43"/>
        </w:numPr>
        <w:ind w:left="426"/>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ascii="楷体" w:hAnsi="楷体" w:eastAsia="楷体"/>
          <w:sz w:val="24"/>
          <w:szCs w:val="24"/>
        </w:rPr>
      </w:pPr>
      <w:r>
        <w:rPr>
          <w:rFonts w:hint="eastAsia" w:ascii="楷体" w:hAnsi="楷体" w:eastAsia="楷体"/>
          <w:sz w:val="24"/>
          <w:szCs w:val="24"/>
        </w:rPr>
        <w:t>规定的其它权利。</w:t>
      </w:r>
    </w:p>
    <w:p>
      <w:pPr>
        <w:ind w:firstLine="602" w:firstLineChars="250"/>
        <w:rPr>
          <w:rFonts w:ascii="楷体" w:hAnsi="楷体" w:eastAsia="楷体"/>
          <w:b/>
          <w:sz w:val="24"/>
          <w:szCs w:val="24"/>
        </w:rPr>
      </w:pPr>
      <w:r>
        <w:rPr>
          <w:rFonts w:hint="eastAsia" w:ascii="楷体" w:hAnsi="楷体" w:eastAsia="楷体"/>
          <w:b/>
          <w:sz w:val="24"/>
          <w:szCs w:val="24"/>
        </w:rPr>
        <w:t>（二）乙方的义务：</w:t>
      </w:r>
    </w:p>
    <w:p>
      <w:pPr>
        <w:ind w:firstLine="425"/>
        <w:rPr>
          <w:rFonts w:ascii="楷体" w:hAnsi="楷体" w:eastAsia="楷体"/>
          <w:sz w:val="24"/>
          <w:szCs w:val="24"/>
        </w:rPr>
      </w:pPr>
      <w:r>
        <w:rPr>
          <w:rFonts w:hint="eastAsia" w:ascii="楷体" w:hAnsi="楷体" w:eastAsia="楷体"/>
          <w:sz w:val="24"/>
          <w:szCs w:val="24"/>
        </w:rPr>
        <w:t>1. 遵守法律法规和理财产品合同的约定；</w:t>
      </w:r>
    </w:p>
    <w:p>
      <w:pPr>
        <w:ind w:firstLine="425"/>
        <w:rPr>
          <w:rFonts w:ascii="楷体" w:hAnsi="楷体" w:eastAsia="楷体"/>
          <w:sz w:val="24"/>
          <w:szCs w:val="24"/>
        </w:rPr>
      </w:pPr>
      <w:r>
        <w:rPr>
          <w:rFonts w:hint="eastAsia" w:ascii="楷体" w:hAnsi="楷体" w:eastAsia="楷体"/>
          <w:sz w:val="24"/>
          <w:szCs w:val="24"/>
        </w:rPr>
        <w:t>2. 恪尽职守，依照诚实信用、勤勉尽责的原则，谨慎、有效管理和运用理财资产；</w:t>
      </w:r>
    </w:p>
    <w:p>
      <w:pPr>
        <w:numPr>
          <w:ilvl w:val="0"/>
          <w:numId w:val="44"/>
        </w:numPr>
        <w:ind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44"/>
        </w:numPr>
        <w:ind w:firstLine="425"/>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rPr>
          <w:rFonts w:ascii="楷体" w:hAnsi="楷体" w:eastAsia="楷体"/>
          <w:sz w:val="24"/>
          <w:szCs w:val="24"/>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p>
    <w:p>
      <w:pPr>
        <w:numPr>
          <w:ilvl w:val="0"/>
          <w:numId w:val="44"/>
        </w:numPr>
        <w:ind w:firstLine="425"/>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rPr>
          <w:rFonts w:ascii="楷体" w:hAnsi="楷体" w:eastAsia="楷体"/>
          <w:sz w:val="24"/>
          <w:szCs w:val="24"/>
        </w:rPr>
      </w:pPr>
      <w:r>
        <w:rPr>
          <w:rFonts w:hint="eastAsia" w:ascii="楷体" w:hAnsi="楷体" w:eastAsia="楷体"/>
          <w:sz w:val="24"/>
          <w:szCs w:val="24"/>
        </w:rPr>
        <w:t>财产品（代理）销售协议书等的约定收取销售费用，并如实核算、记账；未经载明，不得对不同投资者适用不同费率；</w:t>
      </w:r>
    </w:p>
    <w:p>
      <w:pPr>
        <w:numPr>
          <w:ilvl w:val="0"/>
          <w:numId w:val="44"/>
        </w:numPr>
        <w:ind w:firstLine="425"/>
        <w:rPr>
          <w:rFonts w:ascii="楷体" w:hAnsi="楷体" w:eastAsia="楷体"/>
          <w:sz w:val="24"/>
          <w:szCs w:val="24"/>
        </w:rPr>
      </w:pPr>
      <w:r>
        <w:rPr>
          <w:rFonts w:hint="eastAsia" w:ascii="楷体" w:hAnsi="楷体" w:eastAsia="楷体"/>
          <w:sz w:val="24"/>
          <w:szCs w:val="24"/>
        </w:rPr>
        <w:t>建立健全内部控制制度，保证乙方的固有财产和理财财产相互独立，对所管理的不同理财财产分别管理、分别记账，进行投资；</w:t>
      </w:r>
    </w:p>
    <w:p>
      <w:pPr>
        <w:numPr>
          <w:ilvl w:val="0"/>
          <w:numId w:val="44"/>
        </w:numPr>
        <w:ind w:firstLine="425"/>
        <w:rPr>
          <w:rFonts w:ascii="楷体" w:hAnsi="楷体" w:eastAsia="楷体"/>
          <w:sz w:val="24"/>
          <w:szCs w:val="24"/>
        </w:rPr>
      </w:pPr>
      <w:r>
        <w:rPr>
          <w:rFonts w:hint="eastAsia" w:ascii="楷体" w:hAnsi="楷体" w:eastAsia="楷体"/>
          <w:sz w:val="24"/>
          <w:szCs w:val="24"/>
        </w:rPr>
        <w:t>除依据法律法规和理财产品合同的约定外，不得利用理财资产为乙方自身及任何第三方谋取利益；</w:t>
      </w:r>
    </w:p>
    <w:p>
      <w:pPr>
        <w:numPr>
          <w:ilvl w:val="0"/>
          <w:numId w:val="44"/>
        </w:numPr>
        <w:tabs>
          <w:tab w:val="right" w:pos="7881"/>
        </w:tabs>
        <w:ind w:firstLine="425"/>
        <w:rPr>
          <w:rFonts w:ascii="楷体" w:hAnsi="楷体" w:eastAsia="楷体"/>
          <w:sz w:val="24"/>
          <w:szCs w:val="24"/>
        </w:rPr>
      </w:pPr>
      <w:r>
        <w:rPr>
          <w:rFonts w:hint="eastAsia" w:ascii="楷体" w:hAnsi="楷体" w:eastAsia="楷体"/>
          <w:sz w:val="24"/>
          <w:szCs w:val="24"/>
        </w:rPr>
        <w:t>除依据法律法规和理财产品合同的约定外，乙方不得委托第三人管</w:t>
      </w:r>
      <w:r>
        <w:rPr>
          <w:rFonts w:hint="eastAsia" w:ascii="楷体" w:hAnsi="楷体" w:eastAsia="楷体"/>
          <w:sz w:val="24"/>
          <w:szCs w:val="24"/>
        </w:rPr>
        <w:tab/>
      </w:r>
      <w:r>
        <w:rPr>
          <w:rFonts w:hint="eastAsia" w:ascii="楷体" w:hAnsi="楷体" w:eastAsia="楷体"/>
          <w:sz w:val="24"/>
          <w:szCs w:val="24"/>
        </w:rPr>
        <w:t>理、运作理财资产；</w:t>
      </w:r>
    </w:p>
    <w:p>
      <w:pPr>
        <w:numPr>
          <w:ilvl w:val="0"/>
          <w:numId w:val="44"/>
        </w:numPr>
        <w:ind w:firstLine="425"/>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rPr>
          <w:rFonts w:ascii="楷体" w:hAnsi="楷体" w:eastAsia="楷体"/>
          <w:sz w:val="24"/>
          <w:szCs w:val="24"/>
        </w:rPr>
      </w:pPr>
      <w:r>
        <w:rPr>
          <w:rFonts w:hint="eastAsia" w:ascii="楷体" w:hAnsi="楷体" w:eastAsia="楷体"/>
          <w:sz w:val="24"/>
          <w:szCs w:val="24"/>
        </w:rPr>
        <w:t>管人对理财产品投资运作的监督；</w:t>
      </w:r>
    </w:p>
    <w:p>
      <w:pPr>
        <w:numPr>
          <w:ilvl w:val="0"/>
          <w:numId w:val="44"/>
        </w:numPr>
        <w:ind w:firstLine="425"/>
        <w:rPr>
          <w:rFonts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44"/>
        </w:numPr>
        <w:adjustRightInd w:val="0"/>
        <w:snapToGrid w:val="0"/>
        <w:ind w:firstLine="425"/>
        <w:rPr>
          <w:rFonts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44"/>
        </w:numPr>
        <w:tabs>
          <w:tab w:val="left" w:pos="993"/>
        </w:tabs>
        <w:ind w:firstLine="425"/>
        <w:rPr>
          <w:rFonts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44"/>
        </w:numPr>
        <w:tabs>
          <w:tab w:val="left" w:pos="993"/>
        </w:tabs>
        <w:ind w:firstLine="425"/>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rPr>
          <w:rFonts w:ascii="楷体" w:hAnsi="楷体" w:eastAsia="楷体" w:cs="楷体"/>
          <w:sz w:val="24"/>
          <w:szCs w:val="24"/>
        </w:rPr>
      </w:pPr>
      <w:r>
        <w:rPr>
          <w:rFonts w:hint="eastAsia" w:ascii="楷体" w:hAnsi="楷体" w:eastAsia="楷体"/>
          <w:sz w:val="24"/>
          <w:szCs w:val="24"/>
        </w:rPr>
        <w:t>法机关等有权机构及本协议另有约定外，不得对其他第三方提供任何投资者信息；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rPr>
          <w:rFonts w:ascii="楷体" w:hAnsi="楷体" w:eastAsia="楷体" w:cs="楷体"/>
          <w:sz w:val="24"/>
          <w:szCs w:val="24"/>
        </w:rPr>
      </w:pPr>
      <w:r>
        <w:rPr>
          <w:rFonts w:hint="eastAsia" w:ascii="楷体" w:hAnsi="楷体" w:eastAsia="楷体" w:cs="楷体"/>
          <w:sz w:val="24"/>
          <w:szCs w:val="24"/>
        </w:rPr>
        <w:t xml:space="preserve">    无论本协议终止还是发生各种突发情况，本协议项下乙方和有关第三方的保密义务并不因此终止或中断；</w:t>
      </w:r>
    </w:p>
    <w:p>
      <w:pPr>
        <w:numPr>
          <w:ilvl w:val="0"/>
          <w:numId w:val="44"/>
        </w:numPr>
        <w:tabs>
          <w:tab w:val="left" w:pos="993"/>
        </w:tabs>
        <w:ind w:firstLine="425"/>
        <w:rPr>
          <w:rFonts w:ascii="楷体" w:hAnsi="楷体" w:eastAsia="楷体"/>
          <w:sz w:val="24"/>
          <w:szCs w:val="24"/>
        </w:rPr>
      </w:pPr>
      <w:r>
        <w:rPr>
          <w:rFonts w:hint="eastAsia" w:ascii="楷体" w:hAnsi="楷体" w:eastAsia="楷体"/>
          <w:sz w:val="24"/>
          <w:szCs w:val="24"/>
        </w:rPr>
        <w:t>依据理财产品合同约定制订理财收益分配方案并向本理财产品的理财</w:t>
      </w:r>
    </w:p>
    <w:p>
      <w:pPr>
        <w:tabs>
          <w:tab w:val="left" w:pos="993"/>
        </w:tabs>
        <w:rPr>
          <w:rFonts w:ascii="楷体" w:hAnsi="楷体" w:eastAsia="楷体"/>
          <w:sz w:val="24"/>
          <w:szCs w:val="24"/>
        </w:rPr>
      </w:pPr>
      <w:r>
        <w:rPr>
          <w:rFonts w:hint="eastAsia" w:ascii="楷体" w:hAnsi="楷体" w:eastAsia="楷体"/>
          <w:sz w:val="24"/>
          <w:szCs w:val="24"/>
        </w:rPr>
        <w:t>份额持有人分配理财收益（如有）；</w:t>
      </w:r>
    </w:p>
    <w:p>
      <w:pPr>
        <w:numPr>
          <w:ilvl w:val="0"/>
          <w:numId w:val="44"/>
        </w:numPr>
        <w:tabs>
          <w:tab w:val="left" w:pos="993"/>
        </w:tabs>
        <w:ind w:firstLine="425"/>
        <w:rPr>
          <w:rFonts w:ascii="楷体" w:hAnsi="楷体" w:eastAsia="楷体"/>
          <w:sz w:val="24"/>
          <w:szCs w:val="24"/>
        </w:rPr>
      </w:pPr>
      <w:r>
        <w:rPr>
          <w:rFonts w:hint="eastAsia" w:ascii="楷体" w:hAnsi="楷体" w:eastAsia="楷体"/>
          <w:sz w:val="24"/>
          <w:szCs w:val="24"/>
        </w:rPr>
        <w:t>监督理财产品托管人按法律法规和理财产品合同约定履行自己的义务。理财产品托管人因过错造成理财资产损失时，乙方应为理财利益向理财产品托管人追索，除法律法规另有规定外，不承担连带责任；</w:t>
      </w:r>
    </w:p>
    <w:p>
      <w:pPr>
        <w:numPr>
          <w:ilvl w:val="0"/>
          <w:numId w:val="44"/>
        </w:numPr>
        <w:tabs>
          <w:tab w:val="left" w:pos="993"/>
        </w:tabs>
        <w:ind w:firstLine="425"/>
        <w:rPr>
          <w:rFonts w:ascii="楷体" w:hAnsi="楷体" w:eastAsia="楷体"/>
          <w:sz w:val="24"/>
          <w:szCs w:val="24"/>
        </w:rPr>
      </w:pPr>
      <w:r>
        <w:rPr>
          <w:rFonts w:hint="eastAsia" w:ascii="楷体" w:hAnsi="楷体" w:eastAsia="楷体"/>
          <w:sz w:val="24"/>
          <w:szCs w:val="24"/>
        </w:rPr>
        <w:t>不从事任何有损本理财产品其他当事人合法权益的活动。</w:t>
      </w:r>
    </w:p>
    <w:p>
      <w:pPr>
        <w:ind w:firstLine="482" w:firstLineChars="200"/>
        <w:rPr>
          <w:rFonts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rPr>
        <w:t>1. 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rPr>
        <w:t>2. 甲方已清楚知悉并同意本协议项下理财产品的投资管理由乙方负责实施。</w:t>
      </w:r>
    </w:p>
    <w:p>
      <w:pPr>
        <w:ind w:firstLine="480" w:firstLineChars="200"/>
        <w:rPr>
          <w:rFonts w:ascii="楷体" w:hAnsi="楷体" w:eastAsia="楷体"/>
          <w:sz w:val="24"/>
          <w:szCs w:val="24"/>
        </w:rPr>
      </w:pPr>
      <w:r>
        <w:rPr>
          <w:rFonts w:hint="eastAsia" w:ascii="楷体" w:hAnsi="楷体" w:eastAsia="楷体"/>
          <w:sz w:val="24"/>
          <w:szCs w:val="24"/>
        </w:rPr>
        <w:t>3. 乙方按照法律法规和产品说明书的约定诚实信用、谨慎勤勉地实施投资管理行为，以专业技能管理理财产品资产，依法维护理财产品全体投资者的利益。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rPr>
        <w:t>4. 乙方不对任何理财产品的本金或收益做出任何承诺或保证。</w:t>
      </w:r>
    </w:p>
    <w:p>
      <w:pPr>
        <w:ind w:firstLine="480" w:firstLineChars="200"/>
        <w:rPr>
          <w:rFonts w:ascii="楷体" w:hAnsi="楷体" w:eastAsia="楷体"/>
          <w:sz w:val="24"/>
          <w:szCs w:val="24"/>
        </w:rPr>
      </w:pPr>
      <w:r>
        <w:rPr>
          <w:rFonts w:hint="eastAsia" w:ascii="楷体" w:hAnsi="楷体" w:eastAsia="楷体"/>
          <w:sz w:val="24"/>
          <w:szCs w:val="24"/>
        </w:rPr>
        <w:t>5. 乙方依照产品说明书载明的投资范围、投资资产种类、投资比例进行投资，在投资管理过程中,遇市场变化或政策调整导致产品投资范围、投资资产种类、投资比例等暂时超出产品说明书的约定且乙方认为可能对投资者收益产生重大影响时，乙方将及时通过产品说明书约定的披露方式和途径进行披露。</w:t>
      </w:r>
    </w:p>
    <w:p>
      <w:pPr>
        <w:ind w:firstLine="482" w:firstLineChars="200"/>
        <w:rPr>
          <w:rFonts w:ascii="楷体" w:hAnsi="楷体" w:eastAsia="楷体"/>
          <w:sz w:val="24"/>
          <w:szCs w:val="24"/>
        </w:rPr>
      </w:pPr>
      <w:r>
        <w:rPr>
          <w:rFonts w:hint="eastAsia" w:ascii="楷体" w:hAnsi="楷体" w:eastAsia="楷体"/>
          <w:b/>
          <w:bCs/>
          <w:sz w:val="24"/>
          <w:szCs w:val="24"/>
        </w:rPr>
        <w:t>6. 甲方同意乙方依据相关法律法规规定、产品说明书约定或产品投资管理需要选任或委托相关投资管理机构、托管机构等理财投资合作机构；同意乙方以自身名义或理财产品名义签署合同/协议等相关文件；承诺承担乙方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rPr>
        <w:t>7. 为实现理财产品的投资目标及/或维护理财产品全体投资者的利益，乙方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乙方有权以自身名义代表理财产品全体投资者采取诉讼或其他权利救济措施。乙方采取上述行动所产生的费用（包括但不限于诉讼费、仲裁费、律师费等全部费用）和法律后果由理财产品全体投资者承担，乙方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rPr>
        <w:t>8. 乙方有权代表投资者参加会议，对相关事项进行表决；乙方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rPr>
        <w:t>9. 甲方同意乙方在产品说明书约定的投资计划（包括但不限于投资范围、投资资产种类、投资比例等内容）内，依据自身的投资决策流程和风险管理机制做出和实施相关投资管理决定。</w:t>
      </w:r>
    </w:p>
    <w:p>
      <w:pPr>
        <w:ind w:firstLine="425"/>
        <w:rPr>
          <w:rFonts w:ascii="楷体" w:hAnsi="楷体" w:eastAsia="楷体"/>
          <w:sz w:val="24"/>
          <w:szCs w:val="24"/>
        </w:rPr>
      </w:pPr>
      <w:r>
        <w:rPr>
          <w:rFonts w:hint="eastAsia" w:ascii="楷体" w:hAnsi="楷体" w:eastAsia="楷体"/>
          <w:sz w:val="24"/>
          <w:szCs w:val="24"/>
        </w:rPr>
        <w:t>10. 出现市场情况变化等情况时，乙方可根据需要做出调整产品说明书约定投资计划的决定，并通过产品说明书约定的途径与方式进行披露。甲方应注意及时就所认购/申购产品的信息进行查询。乙方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ascii="楷体" w:hAnsi="楷体" w:eastAsia="楷体"/>
          <w:sz w:val="24"/>
          <w:szCs w:val="24"/>
        </w:rPr>
      </w:pPr>
      <w:r>
        <w:rPr>
          <w:rFonts w:hint="eastAsia" w:ascii="楷体" w:hAnsi="楷体" w:eastAsia="楷体"/>
          <w:sz w:val="24"/>
          <w:szCs w:val="24"/>
        </w:rPr>
        <w:t>1. 由于本协议一方当事人的过错，造成本协议不能履行或不能完全履行的，由有过错的一方承担违约责任；如双方同时负有过错，则应由双方各自按照过错程度承担责任。</w:t>
      </w:r>
    </w:p>
    <w:p>
      <w:pPr>
        <w:ind w:firstLine="482" w:firstLineChars="200"/>
        <w:rPr>
          <w:rFonts w:ascii="楷体" w:hAnsi="楷体" w:eastAsia="楷体"/>
          <w:sz w:val="24"/>
          <w:szCs w:val="24"/>
        </w:rPr>
      </w:pPr>
      <w:r>
        <w:rPr>
          <w:rFonts w:hint="eastAsia" w:ascii="楷体" w:hAnsi="楷体" w:eastAsia="楷体"/>
          <w:b/>
          <w:sz w:val="24"/>
          <w:szCs w:val="24"/>
        </w:rPr>
        <w:t>2. 双方同意，发生下列情况造成损失时，按以下约定承担责任</w:t>
      </w:r>
      <w:r>
        <w:rPr>
          <w:rFonts w:hint="eastAsia" w:ascii="楷体" w:hAnsi="楷体" w:eastAsia="楷体"/>
          <w:sz w:val="24"/>
          <w:szCs w:val="24"/>
        </w:rPr>
        <w:t>：</w:t>
      </w:r>
    </w:p>
    <w:p>
      <w:pPr>
        <w:ind w:firstLine="480" w:firstLineChars="200"/>
        <w:rPr>
          <w:rFonts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或乙方发现或有合理理由怀疑甲方或其资金存在洗钱、恐怖融资、逃税等嫌疑，乙方有权提前终止本合同，且乙方不承担相应责任，如因此给乙方或产品其他投资者造成损失的，甲方应承担违约责任。</w:t>
      </w:r>
    </w:p>
    <w:p>
      <w:pPr>
        <w:ind w:firstLine="482" w:firstLineChars="200"/>
        <w:rPr>
          <w:rFonts w:ascii="楷体" w:hAnsi="楷体" w:eastAsia="楷体"/>
          <w:b/>
          <w:sz w:val="24"/>
          <w:szCs w:val="24"/>
        </w:rPr>
      </w:pPr>
      <w:r>
        <w:rPr>
          <w:rFonts w:hint="eastAsia" w:ascii="楷体" w:hAnsi="楷体" w:eastAsia="楷体"/>
          <w:b/>
          <w:sz w:val="24"/>
          <w:szCs w:val="24"/>
        </w:rPr>
        <w:t>六、免责条款</w:t>
      </w:r>
    </w:p>
    <w:p>
      <w:pPr>
        <w:ind w:firstLine="420"/>
        <w:rPr>
          <w:rFonts w:ascii="楷体" w:hAnsi="楷体" w:eastAsia="楷体"/>
          <w:sz w:val="24"/>
          <w:szCs w:val="24"/>
        </w:rPr>
      </w:pPr>
      <w:r>
        <w:rPr>
          <w:rFonts w:hint="eastAsia" w:ascii="楷体" w:hAnsi="楷体" w:eastAsia="楷体"/>
          <w:sz w:val="24"/>
          <w:szCs w:val="24"/>
        </w:rPr>
        <w:t>1. 由于地震、火灾、战争等不可抗力导致的交易中断、延误等风险及损失，乙方不承担责任，但应在条件允许的情况下通知甲方，并采取一切必要的补救措施以减小不可抗力造成的损失。</w:t>
      </w:r>
    </w:p>
    <w:p>
      <w:pPr>
        <w:ind w:firstLine="420"/>
        <w:rPr>
          <w:rFonts w:ascii="楷体" w:hAnsi="楷体" w:eastAsia="楷体"/>
          <w:sz w:val="24"/>
          <w:szCs w:val="24"/>
        </w:rPr>
      </w:pPr>
      <w:r>
        <w:rPr>
          <w:rFonts w:hint="eastAsia" w:ascii="楷体" w:hAnsi="楷体" w:eastAsia="楷体"/>
          <w:sz w:val="24"/>
          <w:szCs w:val="24"/>
        </w:rPr>
        <w:t>2. 由于国家的有关法律、法规、规章、政策的改变、紧急措施的出台而导致的风险，乙方不承担责任。</w:t>
      </w:r>
    </w:p>
    <w:p>
      <w:pPr>
        <w:ind w:firstLine="420"/>
        <w:rPr>
          <w:rFonts w:ascii="楷体" w:hAnsi="楷体" w:eastAsia="楷体"/>
          <w:sz w:val="24"/>
          <w:szCs w:val="24"/>
        </w:rPr>
      </w:pPr>
      <w:r>
        <w:rPr>
          <w:rFonts w:hint="eastAsia" w:ascii="楷体" w:hAnsi="楷体" w:eastAsia="楷体"/>
          <w:sz w:val="24"/>
          <w:szCs w:val="24"/>
        </w:rPr>
        <w:t>3. 乙方依照恪尽职守、诚实信用、谨慎勤勉的原则管理和运用理财产品财产，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乙方依据产品合同约定管理和运用理财产品财产所产生的风险，由理财产品财产及甲方承担。甲方应充分知晓投资运营的相关风险，具体风险详见风险揭示书及理财产品说明书的具体约定，其风险应由甲方自担。</w:t>
      </w:r>
    </w:p>
    <w:p>
      <w:pPr>
        <w:ind w:firstLine="420"/>
        <w:rPr>
          <w:rFonts w:ascii="楷体" w:hAnsi="楷体" w:eastAsia="楷体"/>
          <w:sz w:val="24"/>
          <w:szCs w:val="24"/>
        </w:rPr>
      </w:pPr>
      <w:r>
        <w:rPr>
          <w:rFonts w:hint="eastAsia" w:ascii="楷体" w:hAnsi="楷体" w:eastAsia="楷体"/>
          <w:sz w:val="24"/>
          <w:szCs w:val="24"/>
        </w:rPr>
        <w:t>4. 非因乙方原因（包括但不限于甲方遗失本协议、理财产品合同被盗用、甲方资金账户被司法机关等有权部门冻结、扣划及其他投资者自身原因、投资标的固有风险等原因）造成的损失，乙方不承担责任。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ascii="楷体" w:hAnsi="楷体" w:eastAsia="楷体"/>
          <w:sz w:val="24"/>
          <w:szCs w:val="24"/>
        </w:rPr>
      </w:pPr>
      <w:r>
        <w:rPr>
          <w:rFonts w:hint="eastAsia" w:ascii="楷体" w:hAnsi="楷体" w:eastAsia="楷体"/>
          <w:sz w:val="24"/>
          <w:szCs w:val="24"/>
        </w:rPr>
        <w:t>1. 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ascii="楷体" w:hAnsi="楷体" w:eastAsia="楷体"/>
          <w:sz w:val="24"/>
          <w:szCs w:val="24"/>
        </w:rPr>
      </w:pPr>
      <w:r>
        <w:rPr>
          <w:rFonts w:hint="eastAsia" w:ascii="楷体" w:hAnsi="楷体" w:eastAsia="楷体"/>
          <w:sz w:val="24"/>
          <w:szCs w:val="24"/>
        </w:rPr>
        <w:t>2. 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ascii="楷体" w:hAnsi="楷体" w:eastAsia="楷体"/>
          <w:b/>
          <w:sz w:val="24"/>
          <w:szCs w:val="24"/>
        </w:rPr>
      </w:pPr>
      <w:r>
        <w:rPr>
          <w:rFonts w:hint="eastAsia" w:ascii="楷体" w:hAnsi="楷体" w:eastAsia="楷体"/>
          <w:b/>
          <w:sz w:val="24"/>
          <w:szCs w:val="24"/>
        </w:rPr>
        <w:t>八、协议的生效、变更及终止</w:t>
      </w:r>
    </w:p>
    <w:p>
      <w:pPr>
        <w:ind w:firstLine="420"/>
        <w:rPr>
          <w:rFonts w:ascii="楷体" w:hAnsi="楷体" w:eastAsia="楷体"/>
          <w:sz w:val="24"/>
          <w:szCs w:val="24"/>
        </w:rPr>
      </w:pPr>
      <w:r>
        <w:rPr>
          <w:rFonts w:hint="eastAsia" w:ascii="楷体" w:hAnsi="楷体" w:eastAsia="楷体"/>
          <w:sz w:val="24"/>
          <w:szCs w:val="24"/>
        </w:rPr>
        <w:t>1. 甲方直接通过乙方购买本理财产品，本协议经甲方个人客户签字/机构客户法定代表人签字并加盖公章且乙方加盖公章或业务专用章后生效。甲方通过销售服务机构的网点柜面渠道购买本理财产品，本协议经甲方个人客户签字/机构客户法定代表人签字并加盖公章且成功缴纳购买资金并经乙方系统确认购买份额后生效。甲方通过乙方或销售服务机构电子渠道进行理财交易的，甲方在相应电子页面点击“确定”或“接受”或“已阅读并同意”或“同意”或“提交”或其他同等含义词语，即视为其已签署，表示其同意接受本协议、对应《理财产品说明书》《风险揭示书》和《投资者权益须知》等相关销售文件的全部约定内容，认可其法律约束力。协议各方当事人认可电子渠道所产生电子数据的有效性。本协议生效并不代表甲方认（申）购成功，是否认（申）购成功以及认（申）购的具体金额以乙方最终确认为准。</w:t>
      </w:r>
    </w:p>
    <w:p>
      <w:pPr>
        <w:ind w:firstLine="420"/>
        <w:rPr>
          <w:rStyle w:val="20"/>
        </w:rPr>
      </w:pPr>
      <w:r>
        <w:rPr>
          <w:rFonts w:hint="eastAsia" w:ascii="楷体" w:hAnsi="楷体" w:eastAsia="楷体"/>
          <w:sz w:val="24"/>
          <w:szCs w:val="24"/>
        </w:rPr>
        <w:t>2. 甲方在办理理财产品的购买、赎回等交易后，需通过销售机构营业网点或网上销售平台查询相关交易的确认情况，最终以乙方确认的产品购买金额或赎回份额作为理财产品合同的生效或终止依据。</w:t>
      </w:r>
    </w:p>
    <w:p>
      <w:pPr>
        <w:ind w:firstLine="420"/>
        <w:rPr>
          <w:rFonts w:ascii="楷体" w:hAnsi="楷体" w:eastAsia="楷体"/>
          <w:color w:val="0000FF"/>
          <w:sz w:val="24"/>
          <w:szCs w:val="24"/>
        </w:rPr>
      </w:pPr>
      <w:r>
        <w:rPr>
          <w:rFonts w:hint="eastAsia" w:ascii="楷体" w:hAnsi="楷体" w:eastAsia="楷体"/>
          <w:sz w:val="24"/>
          <w:szCs w:val="24"/>
        </w:rPr>
        <w:t>3. 除按《理财</w:t>
      </w:r>
      <w:r>
        <w:rPr>
          <w:rFonts w:hint="eastAsia" w:ascii="楷体" w:hAnsi="楷体" w:eastAsia="楷体" w:cs="浠垮畫"/>
          <w:kern w:val="0"/>
          <w:sz w:val="24"/>
          <w:szCs w:val="24"/>
        </w:rPr>
        <w:t>产品说明书》约定乙方有权提前终止情形外，甲方有违约行为或交易资金被国家有权机关采取保全措施时，乙方有权提前终止本协议。</w:t>
      </w:r>
    </w:p>
    <w:p>
      <w:pPr>
        <w:ind w:firstLine="420"/>
        <w:rPr>
          <w:rFonts w:ascii="楷体" w:hAnsi="楷体" w:eastAsia="楷体"/>
          <w:sz w:val="24"/>
          <w:szCs w:val="24"/>
        </w:rPr>
      </w:pPr>
      <w:r>
        <w:rPr>
          <w:rFonts w:hint="eastAsia" w:ascii="楷体" w:hAnsi="楷体" w:eastAsia="楷体"/>
          <w:sz w:val="24"/>
          <w:szCs w:val="24"/>
        </w:rPr>
        <w:t>4. 乙方或代销机构发现或有合理理由怀疑甲方或其资金存在洗钱、恐怖融资、逃税等嫌疑，乙方有权提前终止本协议，造成甲方损失的，乙方不承担责任。</w:t>
      </w:r>
    </w:p>
    <w:p>
      <w:pPr>
        <w:ind w:firstLine="420"/>
        <w:rPr>
          <w:rFonts w:ascii="楷体" w:hAnsi="楷体" w:eastAsia="楷体"/>
          <w:sz w:val="24"/>
          <w:szCs w:val="24"/>
        </w:rPr>
      </w:pPr>
      <w:r>
        <w:rPr>
          <w:rFonts w:hint="eastAsia" w:ascii="楷体" w:hAnsi="楷体" w:eastAsia="楷体"/>
          <w:sz w:val="24"/>
          <w:szCs w:val="24"/>
        </w:rPr>
        <w:t>5. 本协议及《理财产品说明书》、《理财产品（代理）销售协议书》项下各方权利义务履行完毕之日，本协议自动终止。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因本合同引起的或与本合同有关的任何争议，应当首先通过双方之间的友好协商解决；协商不成的，双方均有权提交乙方所在地有管辖权的人民法院诉讼解决。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十、本投资协议书未尽事宜，以理财产品说明书、风险揭示书、理财产品（代理）销售协议书、投资者权益须知的约定内容为准。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ascii="楷体" w:hAnsi="楷体" w:eastAsia="楷体"/>
          <w:sz w:val="24"/>
          <w:szCs w:val="24"/>
        </w:rPr>
      </w:pPr>
    </w:p>
    <w:p>
      <w:pPr>
        <w:rPr>
          <w:rFonts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ascii="楷体" w:hAnsi="楷体" w:eastAsia="楷体"/>
          <w:sz w:val="24"/>
          <w:szCs w:val="24"/>
        </w:rPr>
      </w:pPr>
    </w:p>
    <w:p>
      <w:pPr>
        <w:rPr>
          <w:rFonts w:ascii="楷体" w:hAnsi="楷体" w:eastAsia="楷体"/>
          <w:sz w:val="24"/>
          <w:szCs w:val="24"/>
        </w:rPr>
      </w:pPr>
    </w:p>
    <w:p>
      <w:pPr>
        <w:rPr>
          <w:rFonts w:ascii="楷体" w:hAnsi="楷体" w:eastAsia="楷体"/>
        </w:rPr>
      </w:pPr>
    </w:p>
    <w:p>
      <w:pPr>
        <w:rPr>
          <w:rFonts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ascii="楷体" w:hAnsi="楷体" w:eastAsia="楷体"/>
          <w:sz w:val="24"/>
          <w:szCs w:val="24"/>
        </w:rPr>
      </w:pPr>
    </w:p>
    <w:p>
      <w:pPr>
        <w:rPr>
          <w:rFonts w:ascii="楷体" w:hAnsi="楷体" w:eastAsia="楷体"/>
        </w:rPr>
      </w:pPr>
    </w:p>
    <w:p>
      <w:pPr>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p>
    <w:p>
      <w:pPr>
        <w:autoSpaceDE w:val="0"/>
        <w:autoSpaceDN w:val="0"/>
        <w:adjustRightInd w:val="0"/>
        <w:rPr>
          <w:rFonts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rPr>
          <w:rFonts w:ascii="楷体" w:hAnsi="楷体" w:eastAsia="楷体"/>
          <w:sz w:val="24"/>
          <w:szCs w:val="24"/>
        </w:rPr>
      </w:pPr>
    </w:p>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ascii="楷体" w:hAnsi="楷体" w:eastAsia="楷体" w:cs="楷体"/>
        </w:rPr>
      </w:pPr>
      <w:r>
        <w:rPr>
          <w:rFonts w:hint="eastAsia" w:ascii="楷体" w:hAnsi="楷体" w:eastAsia="楷体" w:cs="楷体"/>
          <w:sz w:val="15"/>
          <w:szCs w:val="15"/>
          <w:vertAlign w:val="superscript"/>
        </w:rPr>
        <w:footnoteRef/>
      </w:r>
      <w:r>
        <w:rPr>
          <w:rFonts w:hint="eastAsia" w:ascii="楷体" w:hAnsi="楷体" w:eastAsia="楷体" w:cs="楷体"/>
          <w:vertAlign w:val="superscript"/>
        </w:rPr>
        <w:t xml:space="preserve"> </w:t>
      </w:r>
      <w:r>
        <w:rPr>
          <w:rFonts w:hint="eastAsia" w:ascii="楷体" w:hAnsi="楷体" w:eastAsia="楷体" w:cs="楷体"/>
        </w:rPr>
        <w:t>注：投资者权益须知的名称和内容以销售机构实际使用为准。</w:t>
      </w:r>
    </w:p>
  </w:footnote>
  <w:footnote w:id="1">
    <w:p>
      <w:pPr>
        <w:pStyle w:val="11"/>
      </w:pPr>
      <w:r>
        <w:rPr>
          <w:rFonts w:hint="eastAsia" w:ascii="楷体" w:hAnsi="楷体" w:eastAsia="楷体" w:cs="楷体"/>
          <w:sz w:val="15"/>
          <w:szCs w:val="15"/>
          <w:vertAlign w:val="superscript"/>
        </w:rPr>
        <w:footnoteRef/>
      </w:r>
      <w:r>
        <w:rPr>
          <w:rFonts w:hint="eastAsia" w:ascii="楷体" w:hAnsi="楷体" w:eastAsia="楷体" w:cs="楷体"/>
          <w:vertAlign w:val="superscript"/>
        </w:rPr>
        <w:t xml:space="preserve"> </w:t>
      </w:r>
      <w:r>
        <w:rPr>
          <w:rFonts w:hint="eastAsia" w:ascii="楷体" w:hAnsi="楷体" w:eastAsia="楷体" w:cs="楷体"/>
        </w:rPr>
        <w:t>注：理财产品（代理）销售协议书的名称和内容以销售机构实际使用为准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黑体" w:eastAsia="黑体" w:cs="黑体"/>
        <w:spacing w:val="-2"/>
        <w:sz w:val="24"/>
        <w:szCs w:val="24"/>
      </w:rPr>
    </w:pPr>
    <w:r>
      <w:pict>
        <v:shape id="WordPictureWatermark367144751" o:spid="_x0000_s1026" o:spt="75" type="#_x0000_t75" style="position:absolute;left:0pt;height:862.85pt;width:1137.3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2" o:spid="_x0000_s1027" o:spt="75" alt="说明: C:\Users\JSYH\Desktop\苏银理财.png" type="#_x0000_t75" style="position:absolute;left:0pt;margin-left:308.95pt;margin-top:-7.5pt;height:33.45pt;width:104.35pt;mso-wrap-distance-bottom:0pt;mso-wrap-distance-left:9pt;mso-wrap-distance-right:9pt;mso-wrap-distance-top:0pt;z-index:251666432;mso-width-relative:page;mso-height-relative:page;" filled="f" o:preferrelative="t" stroked="f" coordsize="21600,21600">
          <v:path/>
          <v:fill on="f" focussize="0,0"/>
          <v:stroke on="f" joinstyle="miter"/>
          <v:imagedata r:id="rId2" o:title="苏银理财"/>
          <o:lock v:ext="edit" aspectratio="t"/>
          <w10:wrap type="square"/>
        </v:shape>
      </w:pict>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50" o:spid="_x0000_s1025" o:spt="75" type="#_x0000_t75" style="position:absolute;left:0pt;height:862.85pt;width:1137.3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49" o:spid="_x0000_s1028" o:spt="75" type="#_x0000_t75" style="position:absolute;left:0pt;height:862.85pt;width:1137.3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103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1031" o:spt="75" alt="说明: 说明: C:\Users\JSYH\Desktop\苏银理财.png" type="#_x0000_t75" style="position:absolute;left:0pt;margin-left:308.95pt;margin-top:-7.5pt;height:33.45pt;width:104.35pt;mso-wrap-distance-bottom:0pt;mso-wrap-distance-left:9pt;mso-wrap-distance-right:9pt;mso-wrap-distance-top:0pt;z-index:251665408;mso-width-relative:page;mso-height-relative:page;" filled="f" o:preferrelative="t" stroked="f" coordsize="21600,21600">
          <v:path/>
          <v:fill on="f" focussize="0,0"/>
          <v:stroke on="f" joinstyle="miter"/>
          <v:imagedata r:id="rId2" o:title="苏银理财"/>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ED4BC391"/>
    <w:multiLevelType w:val="singleLevel"/>
    <w:tmpl w:val="ED4BC391"/>
    <w:lvl w:ilvl="0" w:tentative="0">
      <w:start w:val="5"/>
      <w:numFmt w:val="decimal"/>
      <w:suff w:val="space"/>
      <w:lvlText w:val="%1."/>
      <w:lvlJc w:val="left"/>
    </w:lvl>
  </w:abstractNum>
  <w:abstractNum w:abstractNumId="3">
    <w:nsid w:val="EE75D0C4"/>
    <w:multiLevelType w:val="singleLevel"/>
    <w:tmpl w:val="EE75D0C4"/>
    <w:lvl w:ilvl="0" w:tentative="0">
      <w:start w:val="1"/>
      <w:numFmt w:val="decimal"/>
      <w:suff w:val="nothing"/>
      <w:lvlText w:val="（%1）"/>
      <w:lvlJc w:val="left"/>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8278C74"/>
    <w:multiLevelType w:val="singleLevel"/>
    <w:tmpl w:val="18278C74"/>
    <w:lvl w:ilvl="0" w:tentative="0">
      <w:start w:val="2"/>
      <w:numFmt w:val="decimal"/>
      <w:suff w:val="space"/>
      <w:lvlText w:val="%1."/>
      <w:lvlJc w:val="left"/>
    </w:lvl>
  </w:abstractNum>
  <w:abstractNum w:abstractNumId="8">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2A9850F8"/>
    <w:multiLevelType w:val="multilevel"/>
    <w:tmpl w:val="2A9850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5">
    <w:nsid w:val="2D3D19BD"/>
    <w:multiLevelType w:val="singleLevel"/>
    <w:tmpl w:val="2D3D19BD"/>
    <w:lvl w:ilvl="0" w:tentative="0">
      <w:start w:val="4"/>
      <w:numFmt w:val="decimal"/>
      <w:suff w:val="space"/>
      <w:lvlText w:val="%1."/>
      <w:lvlJc w:val="left"/>
    </w:lvl>
  </w:abstractNum>
  <w:abstractNum w:abstractNumId="16">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2">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3">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5B1D2B3D"/>
    <w:multiLevelType w:val="multilevel"/>
    <w:tmpl w:val="5B1D2B3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FC4DC05"/>
    <w:multiLevelType w:val="singleLevel"/>
    <w:tmpl w:val="6FC4DC05"/>
    <w:lvl w:ilvl="0" w:tentative="0">
      <w:start w:val="1"/>
      <w:numFmt w:val="decimal"/>
      <w:suff w:val="space"/>
      <w:lvlText w:val="%1."/>
      <w:lvlJc w:val="left"/>
    </w:lvl>
  </w:abstractNum>
  <w:abstractNum w:abstractNumId="37">
    <w:nsid w:val="71604D5C"/>
    <w:multiLevelType w:val="multilevel"/>
    <w:tmpl w:val="71604D5C"/>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3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767AF553"/>
    <w:multiLevelType w:val="singleLevel"/>
    <w:tmpl w:val="767AF553"/>
    <w:lvl w:ilvl="0" w:tentative="0">
      <w:start w:val="8"/>
      <w:numFmt w:val="decimal"/>
      <w:suff w:val="space"/>
      <w:lvlText w:val="%1."/>
      <w:lvlJc w:val="left"/>
    </w:lvl>
  </w:abstractNum>
  <w:abstractNum w:abstractNumId="41">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2">
    <w:nsid w:val="78541B78"/>
    <w:multiLevelType w:val="singleLevel"/>
    <w:tmpl w:val="78541B78"/>
    <w:lvl w:ilvl="0" w:tentative="0">
      <w:start w:val="1"/>
      <w:numFmt w:val="decimal"/>
      <w:suff w:val="nothing"/>
      <w:lvlText w:val="（%1）"/>
      <w:lvlJc w:val="left"/>
    </w:lvl>
  </w:abstractNum>
  <w:abstractNum w:abstractNumId="43">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6"/>
  </w:num>
  <w:num w:numId="2">
    <w:abstractNumId w:val="10"/>
  </w:num>
  <w:num w:numId="3">
    <w:abstractNumId w:val="3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14"/>
  </w:num>
  <w:num w:numId="8">
    <w:abstractNumId w:val="9"/>
  </w:num>
  <w:num w:numId="9">
    <w:abstractNumId w:val="22"/>
  </w:num>
  <w:num w:numId="10">
    <w:abstractNumId w:val="21"/>
  </w:num>
  <w:num w:numId="11">
    <w:abstractNumId w:val="8"/>
  </w:num>
  <w:num w:numId="12">
    <w:abstractNumId w:val="17"/>
  </w:num>
  <w:num w:numId="13">
    <w:abstractNumId w:val="12"/>
  </w:num>
  <w:num w:numId="14">
    <w:abstractNumId w:val="28"/>
  </w:num>
  <w:num w:numId="15">
    <w:abstractNumId w:val="32"/>
  </w:num>
  <w:num w:numId="16">
    <w:abstractNumId w:val="11"/>
  </w:num>
  <w:num w:numId="17">
    <w:abstractNumId w:val="20"/>
  </w:num>
  <w:num w:numId="18">
    <w:abstractNumId w:val="3"/>
  </w:num>
  <w:num w:numId="19">
    <w:abstractNumId w:val="39"/>
  </w:num>
  <w:num w:numId="20">
    <w:abstractNumId w:val="42"/>
  </w:num>
  <w:num w:numId="21">
    <w:abstractNumId w:val="29"/>
  </w:num>
  <w:num w:numId="22">
    <w:abstractNumId w:val="24"/>
  </w:num>
  <w:num w:numId="23">
    <w:abstractNumId w:val="13"/>
  </w:num>
  <w:num w:numId="24">
    <w:abstractNumId w:val="6"/>
  </w:num>
  <w:num w:numId="25">
    <w:abstractNumId w:val="27"/>
  </w:num>
  <w:num w:numId="26">
    <w:abstractNumId w:val="31"/>
  </w:num>
  <w:num w:numId="27">
    <w:abstractNumId w:val="5"/>
  </w:num>
  <w:num w:numId="28">
    <w:abstractNumId w:val="33"/>
  </w:num>
  <w:num w:numId="29">
    <w:abstractNumId w:val="26"/>
  </w:num>
  <w:num w:numId="30">
    <w:abstractNumId w:val="34"/>
  </w:num>
  <w:num w:numId="31">
    <w:abstractNumId w:val="43"/>
  </w:num>
  <w:num w:numId="32">
    <w:abstractNumId w:val="30"/>
  </w:num>
  <w:num w:numId="33">
    <w:abstractNumId w:val="16"/>
  </w:num>
  <w:num w:numId="34">
    <w:abstractNumId w:val="25"/>
  </w:num>
  <w:num w:numId="35">
    <w:abstractNumId w:val="23"/>
  </w:num>
  <w:num w:numId="36">
    <w:abstractNumId w:val="35"/>
  </w:num>
  <w:num w:numId="37">
    <w:abstractNumId w:val="4"/>
  </w:num>
  <w:num w:numId="38">
    <w:abstractNumId w:val="19"/>
  </w:num>
  <w:num w:numId="39">
    <w:abstractNumId w:val="1"/>
  </w:num>
  <w:num w:numId="40">
    <w:abstractNumId w:val="2"/>
  </w:num>
  <w:num w:numId="41">
    <w:abstractNumId w:val="15"/>
  </w:num>
  <w:num w:numId="42">
    <w:abstractNumId w:val="7"/>
  </w:num>
  <w:num w:numId="43">
    <w:abstractNumId w:val="40"/>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A744D"/>
    <w:rsid w:val="014354FF"/>
    <w:rsid w:val="0153453C"/>
    <w:rsid w:val="0153462C"/>
    <w:rsid w:val="01572ED7"/>
    <w:rsid w:val="015A3032"/>
    <w:rsid w:val="0168358B"/>
    <w:rsid w:val="01695881"/>
    <w:rsid w:val="016D09F4"/>
    <w:rsid w:val="018876DC"/>
    <w:rsid w:val="018E7785"/>
    <w:rsid w:val="01A02591"/>
    <w:rsid w:val="01AA6FD1"/>
    <w:rsid w:val="01AB1B3B"/>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5560D9"/>
    <w:rsid w:val="045C7D7F"/>
    <w:rsid w:val="04674182"/>
    <w:rsid w:val="046874D3"/>
    <w:rsid w:val="046D4B31"/>
    <w:rsid w:val="04763DF0"/>
    <w:rsid w:val="0482632C"/>
    <w:rsid w:val="049632DF"/>
    <w:rsid w:val="04A741FF"/>
    <w:rsid w:val="04A76ED6"/>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E7ED0"/>
    <w:rsid w:val="06BB1810"/>
    <w:rsid w:val="06BE55EB"/>
    <w:rsid w:val="06BF1CFA"/>
    <w:rsid w:val="06CB2176"/>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A1B33"/>
    <w:rsid w:val="0A7C10EC"/>
    <w:rsid w:val="0A8000C8"/>
    <w:rsid w:val="0A9567C3"/>
    <w:rsid w:val="0A9636B5"/>
    <w:rsid w:val="0A967038"/>
    <w:rsid w:val="0A9A67CC"/>
    <w:rsid w:val="0AA837BF"/>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D80961"/>
    <w:rsid w:val="10D84BB2"/>
    <w:rsid w:val="10E55ACF"/>
    <w:rsid w:val="10ED705E"/>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A7556"/>
    <w:rsid w:val="120F07B3"/>
    <w:rsid w:val="121700F0"/>
    <w:rsid w:val="12174DED"/>
    <w:rsid w:val="122347FC"/>
    <w:rsid w:val="122359F4"/>
    <w:rsid w:val="12261F55"/>
    <w:rsid w:val="123212B1"/>
    <w:rsid w:val="124706EB"/>
    <w:rsid w:val="125D33A6"/>
    <w:rsid w:val="12682F27"/>
    <w:rsid w:val="12712DBC"/>
    <w:rsid w:val="127B15E0"/>
    <w:rsid w:val="128B5E58"/>
    <w:rsid w:val="129C2721"/>
    <w:rsid w:val="12A173C6"/>
    <w:rsid w:val="12A2089F"/>
    <w:rsid w:val="12A574E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2609F"/>
    <w:rsid w:val="1509116B"/>
    <w:rsid w:val="150C2883"/>
    <w:rsid w:val="150E365F"/>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82C35"/>
    <w:rsid w:val="15DB5F39"/>
    <w:rsid w:val="15E24378"/>
    <w:rsid w:val="15E65D5D"/>
    <w:rsid w:val="15F96CAC"/>
    <w:rsid w:val="16003EB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C16BE"/>
    <w:rsid w:val="181B60D9"/>
    <w:rsid w:val="181F5100"/>
    <w:rsid w:val="182320B0"/>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AB4CA1"/>
    <w:rsid w:val="1AB00ACD"/>
    <w:rsid w:val="1AB77CCA"/>
    <w:rsid w:val="1ABC53BD"/>
    <w:rsid w:val="1AC90C8B"/>
    <w:rsid w:val="1AE47673"/>
    <w:rsid w:val="1B003112"/>
    <w:rsid w:val="1B0623C3"/>
    <w:rsid w:val="1B0F3F68"/>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6A0005"/>
    <w:rsid w:val="20762E71"/>
    <w:rsid w:val="207748CC"/>
    <w:rsid w:val="208438ED"/>
    <w:rsid w:val="20903E4E"/>
    <w:rsid w:val="20906B7D"/>
    <w:rsid w:val="20933A06"/>
    <w:rsid w:val="20997A75"/>
    <w:rsid w:val="209D22B4"/>
    <w:rsid w:val="20A769E0"/>
    <w:rsid w:val="20AC309F"/>
    <w:rsid w:val="20AE53E1"/>
    <w:rsid w:val="20B91AD5"/>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D17FBD"/>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628DC"/>
    <w:rsid w:val="26E65E49"/>
    <w:rsid w:val="26EA4AAD"/>
    <w:rsid w:val="26F0197C"/>
    <w:rsid w:val="26F55BE8"/>
    <w:rsid w:val="26F56719"/>
    <w:rsid w:val="270B5779"/>
    <w:rsid w:val="270D7803"/>
    <w:rsid w:val="273A445C"/>
    <w:rsid w:val="273B1378"/>
    <w:rsid w:val="273F08A2"/>
    <w:rsid w:val="27427939"/>
    <w:rsid w:val="27533C8E"/>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A22DFE"/>
    <w:rsid w:val="2FA318F0"/>
    <w:rsid w:val="2FBF68A3"/>
    <w:rsid w:val="2FC9496C"/>
    <w:rsid w:val="2FCC4A77"/>
    <w:rsid w:val="2FCD52D7"/>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F0E83"/>
    <w:rsid w:val="33465B36"/>
    <w:rsid w:val="335D7A4F"/>
    <w:rsid w:val="336045CB"/>
    <w:rsid w:val="33650CAA"/>
    <w:rsid w:val="33713745"/>
    <w:rsid w:val="337A39BA"/>
    <w:rsid w:val="337B0E24"/>
    <w:rsid w:val="338D06DC"/>
    <w:rsid w:val="339A72FB"/>
    <w:rsid w:val="33A336EF"/>
    <w:rsid w:val="33AB464E"/>
    <w:rsid w:val="33B9549D"/>
    <w:rsid w:val="33BE1549"/>
    <w:rsid w:val="33C860F8"/>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26537A"/>
    <w:rsid w:val="363D5BC2"/>
    <w:rsid w:val="363E4C6B"/>
    <w:rsid w:val="36411BD2"/>
    <w:rsid w:val="364918AE"/>
    <w:rsid w:val="364A5848"/>
    <w:rsid w:val="365E5B6A"/>
    <w:rsid w:val="36641444"/>
    <w:rsid w:val="36762B93"/>
    <w:rsid w:val="367F0410"/>
    <w:rsid w:val="3696776B"/>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67C0A"/>
    <w:rsid w:val="376F58CE"/>
    <w:rsid w:val="37805199"/>
    <w:rsid w:val="37856AB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83F30"/>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F62A86"/>
    <w:rsid w:val="4A0C6FE4"/>
    <w:rsid w:val="4A120F67"/>
    <w:rsid w:val="4A153BB2"/>
    <w:rsid w:val="4A1D6D18"/>
    <w:rsid w:val="4A483701"/>
    <w:rsid w:val="4A4D7520"/>
    <w:rsid w:val="4A591D2A"/>
    <w:rsid w:val="4A5938F5"/>
    <w:rsid w:val="4A5C069D"/>
    <w:rsid w:val="4A637681"/>
    <w:rsid w:val="4A8A5E97"/>
    <w:rsid w:val="4A8F6D97"/>
    <w:rsid w:val="4A947899"/>
    <w:rsid w:val="4A9608B5"/>
    <w:rsid w:val="4AB374A7"/>
    <w:rsid w:val="4AC015DC"/>
    <w:rsid w:val="4ADD6B8B"/>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FC5"/>
    <w:rsid w:val="4FE917B6"/>
    <w:rsid w:val="4FE95025"/>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7042C9"/>
    <w:rsid w:val="567E3F47"/>
    <w:rsid w:val="5680063E"/>
    <w:rsid w:val="56806F4E"/>
    <w:rsid w:val="56895B6C"/>
    <w:rsid w:val="568C6120"/>
    <w:rsid w:val="56934E6B"/>
    <w:rsid w:val="56AA5523"/>
    <w:rsid w:val="56AC5844"/>
    <w:rsid w:val="56B305D6"/>
    <w:rsid w:val="56C13D7F"/>
    <w:rsid w:val="56C66D69"/>
    <w:rsid w:val="56CA570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211CCD"/>
    <w:rsid w:val="5B213ED2"/>
    <w:rsid w:val="5B223D51"/>
    <w:rsid w:val="5B285DB7"/>
    <w:rsid w:val="5B2A5CEC"/>
    <w:rsid w:val="5B2E4A55"/>
    <w:rsid w:val="5B3A11A0"/>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1E1738"/>
    <w:rsid w:val="5C2470F5"/>
    <w:rsid w:val="5C260ED7"/>
    <w:rsid w:val="5C274363"/>
    <w:rsid w:val="5C28396C"/>
    <w:rsid w:val="5C2F4D65"/>
    <w:rsid w:val="5C453383"/>
    <w:rsid w:val="5C4A6E17"/>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8560E7"/>
    <w:rsid w:val="5D8A326E"/>
    <w:rsid w:val="5D8B579D"/>
    <w:rsid w:val="5D8F6E8C"/>
    <w:rsid w:val="5D91227B"/>
    <w:rsid w:val="5D9616D3"/>
    <w:rsid w:val="5D9D0CBF"/>
    <w:rsid w:val="5DA630FD"/>
    <w:rsid w:val="5DAD534C"/>
    <w:rsid w:val="5DC85C22"/>
    <w:rsid w:val="5DD051EB"/>
    <w:rsid w:val="5DDD0C01"/>
    <w:rsid w:val="5DDF2C78"/>
    <w:rsid w:val="5DDF7118"/>
    <w:rsid w:val="5DE00FDA"/>
    <w:rsid w:val="5DE01E22"/>
    <w:rsid w:val="5DEF4C41"/>
    <w:rsid w:val="5DF62864"/>
    <w:rsid w:val="5DF748A1"/>
    <w:rsid w:val="5E0D293F"/>
    <w:rsid w:val="5E202A9E"/>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624DB7"/>
    <w:rsid w:val="65671CA7"/>
    <w:rsid w:val="6567622F"/>
    <w:rsid w:val="656A2983"/>
    <w:rsid w:val="656E4F40"/>
    <w:rsid w:val="658D5BA6"/>
    <w:rsid w:val="65984DF1"/>
    <w:rsid w:val="65AB176E"/>
    <w:rsid w:val="65AB4645"/>
    <w:rsid w:val="65AB6FCC"/>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671D"/>
    <w:rsid w:val="67FC2839"/>
    <w:rsid w:val="67FC624E"/>
    <w:rsid w:val="68024255"/>
    <w:rsid w:val="6802716F"/>
    <w:rsid w:val="6804711D"/>
    <w:rsid w:val="681362E2"/>
    <w:rsid w:val="681569AD"/>
    <w:rsid w:val="682E60E4"/>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506716"/>
    <w:rsid w:val="6D5645C6"/>
    <w:rsid w:val="6D57181B"/>
    <w:rsid w:val="6D5F137A"/>
    <w:rsid w:val="6D684EAB"/>
    <w:rsid w:val="6D6C0536"/>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42E31"/>
    <w:rsid w:val="6F5A5DF8"/>
    <w:rsid w:val="6F5C3100"/>
    <w:rsid w:val="6F61120D"/>
    <w:rsid w:val="6F62091E"/>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724A"/>
    <w:rsid w:val="72353609"/>
    <w:rsid w:val="723B3115"/>
    <w:rsid w:val="723B7D8F"/>
    <w:rsid w:val="72416C20"/>
    <w:rsid w:val="72563A1C"/>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E6D73"/>
    <w:rsid w:val="7CB0081C"/>
    <w:rsid w:val="7CB80C1E"/>
    <w:rsid w:val="7CB932B3"/>
    <w:rsid w:val="7CBA4BBB"/>
    <w:rsid w:val="7CC204B4"/>
    <w:rsid w:val="7CC370E6"/>
    <w:rsid w:val="7CCB07D6"/>
    <w:rsid w:val="7CD321D8"/>
    <w:rsid w:val="7CD87D80"/>
    <w:rsid w:val="7CDE3D5F"/>
    <w:rsid w:val="7CE15591"/>
    <w:rsid w:val="7CE23CCD"/>
    <w:rsid w:val="7CE8714F"/>
    <w:rsid w:val="7CE97A34"/>
    <w:rsid w:val="7D02287F"/>
    <w:rsid w:val="7D071B08"/>
    <w:rsid w:val="7D0F772E"/>
    <w:rsid w:val="7D196567"/>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41"/>
    <w:unhideWhenUsed/>
    <w:qFormat/>
    <w:uiPriority w:val="99"/>
    <w:pPr>
      <w:jc w:val="left"/>
    </w:pPr>
  </w:style>
  <w:style w:type="paragraph" w:styleId="6">
    <w:name w:val="Body Text"/>
    <w:basedOn w:val="1"/>
    <w:link w:val="42"/>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5"/>
    <w:next w:val="5"/>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2"/>
    <w:qFormat/>
    <w:uiPriority w:val="1"/>
    <w:rPr>
      <w:rFonts w:ascii="黑体" w:hAnsi="Times New Roman" w:eastAsia="黑体" w:cs="黑体"/>
      <w:b/>
      <w:bCs/>
      <w:kern w:val="0"/>
      <w:sz w:val="36"/>
      <w:szCs w:val="36"/>
    </w:rPr>
  </w:style>
  <w:style w:type="character" w:customStyle="1" w:styleId="39">
    <w:name w:val="标题 2 字符1"/>
    <w:link w:val="3"/>
    <w:qFormat/>
    <w:uiPriority w:val="9"/>
    <w:rPr>
      <w:rFonts w:ascii="Cambria" w:hAnsi="Cambria" w:eastAsia="宋体" w:cs="Times New Roman"/>
      <w:b/>
      <w:bCs/>
      <w:sz w:val="32"/>
      <w:szCs w:val="32"/>
    </w:rPr>
  </w:style>
  <w:style w:type="character" w:customStyle="1" w:styleId="40">
    <w:name w:val="标题 3 字符1"/>
    <w:link w:val="4"/>
    <w:qFormat/>
    <w:uiPriority w:val="1"/>
    <w:rPr>
      <w:rFonts w:ascii="宋体" w:hAnsi="Times New Roman" w:eastAsia="宋体" w:cs="宋体"/>
      <w:b/>
      <w:bCs/>
      <w:kern w:val="0"/>
      <w:szCs w:val="21"/>
    </w:rPr>
  </w:style>
  <w:style w:type="character" w:customStyle="1" w:styleId="41">
    <w:name w:val="批注文字 字符1"/>
    <w:link w:val="5"/>
    <w:qFormat/>
    <w:uiPriority w:val="99"/>
    <w:rPr>
      <w:rFonts w:ascii="Times New Roman" w:hAnsi="Times New Roman" w:eastAsia="宋体" w:cs="Times New Roman"/>
      <w:kern w:val="2"/>
      <w:sz w:val="21"/>
      <w:szCs w:val="22"/>
    </w:rPr>
  </w:style>
  <w:style w:type="character" w:customStyle="1" w:styleId="42">
    <w:name w:val="正文文本 字符1"/>
    <w:link w:val="6"/>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Info spid="_x0000_s1025"/>
    <customShpInfo spid="_x0000_s1028"/>
    <customShpInfo spid="_x0000_s1030"/>
    <customShpInfo spid="_x0000_s1031"/>
    <customShpInfo spid="_x0000_s1029"/>
    <customShpInfo spid="_x0000_s1032"/>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32553</Words>
  <Characters>33308</Characters>
  <Lines>243</Lines>
  <Paragraphs>68</Paragraphs>
  <TotalTime>0</TotalTime>
  <ScaleCrop>false</ScaleCrop>
  <LinksUpToDate>false</LinksUpToDate>
  <CharactersWithSpaces>33549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2024-12-31T07:26:27Z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464E9CA6432B43BD837C4F34B089BBAF</vt:lpwstr>
  </property>
</Properties>
</file>