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南银理财珠联璧合鑫逸稳一年89期封闭式公募人民币理财产品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南银理财珠联璧合鑫逸稳一年89期封闭式公募人民币理财产品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Z7003222000083（投资者可依据该编码在中国理财网www.chinawealth.com.cn查询理财产品相关信息）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2022年12月07日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712,385,243.00份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100.13</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华夏基金管理有限公司,鑫元基金管理有限公司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Y30089</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74,043,139.45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1.0276</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1.0276</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Y31089</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405,405,190.17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1.0282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1.0282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Y32089</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253,165,481.82</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1.0288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1.0288</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本产品Y30089份额净值为1.0276元，Y31089份额净值为1.0282元，Y32089份额净值为1.0288元。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339,827,335.78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46.39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23880137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23东台交通01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24.57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23880068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23高港高新区01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20.47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华夏基金恒益1号集合资产管理计划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40,628,584.18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5.55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23880149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23华宇投资02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1.36</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东台市交通投资建设集团有限公司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23东台交通01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泰州市高港高新区开发建设有限责任公司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23高港高新区01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193</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靖江市华宇投资建设有限公司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23华宇投资02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193</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0120030000000954</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南银理财鑫逸稳一年89期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340,000,000.00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1,059,124.47</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