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南银理财珠联璧合鑫悦享1908三个月定开公募人民币理财产品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南银理财珠联璧合鑫悦享1908三个月定开公募人民币理财产品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Z7003220000007（投资者可依据该编码在中国理财网www.chinawealth.com.cn查询理财产品相关信息）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开放式净值型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2019年08月22日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4,887,006,356.84份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102.96</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平安资产管理有限责任公司,中粮信托有限责任公司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Z40001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5,076,254,545.71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1.0693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1.1672</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43,992.32</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Z41001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149,692,240.04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1.0697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1.0697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其中中低评级1-2年表现亮眼，下行70-80bp不等。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债市大幅调整的风险可控，预计为偏强震荡市，票息策略仍然占优。当前信用债收益率已处于较低水平，信用利差进一步压缩的空间有限，关注理财规模增长是否支撑信用债继续下行。考虑曲线形态较为平坦，中短端确定性相对更高，保持杠杆套息操作，择机参与交易机会。</w:t>
        <w:br w:type="textWrapping" w:clear="all"/>
      </w:r>
      <w:r>
        <w:rPr>
          <w:rFonts w:ascii="方正仿宋简体" w:eastAsia="方正仿宋简体" w:hint="eastAsia"/>
          <w:sz w:val="24"/>
          <w:szCs w:val="24"/>
        </w:rPr>
        <w:t xml:space="preserve">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本产品Z40001份额净值为1.0693元，Z41001份额净值为1.0697元。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TYJKX202305250001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同业借款（南银法巴消金）20230605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299,993,733.36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XJCKX202306070001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建设银行深圳分行活期存款</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130,163,555.56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031900835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19青山湖PPN001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100,281,200.00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162220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19南浔03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100,000,319.80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012381248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23新水国资SCP002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99,977,900.00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180211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18国开11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90,207,990.00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ZJQTT202306010001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中粮信托-鼎兴2号集合资金信托计划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87,197,362.17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121720001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17紫金玄武PRN001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81,080,600.00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031900017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19苏科技城PPN001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80,413,440.00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102001548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20鲁能源MTN005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60,128,280.00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1.15</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南银法巴消费金融有限公司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同业借款（南银法巴消金）20230605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同业借款</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0120000000000314</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南京银行鑫悦享1908三个月定开</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300,000,000.00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230,470,729.38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1,008,000,168.49</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495,199.88</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4,113.86</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