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南银理财珠联璧合鑫逸稳一年83期封闭式公募人民币理财产品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南银理财珠联璧合鑫逸稳一年83期封闭式公募人民币理财产品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Z7003222000071（投资者可依据该编码在中国理财网www.chinawealth.com.cn查询理财产品相关信息）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2022年10月26日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728,523,857.00份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100.16</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华夏基金管理有限公司,鑫元基金管理有限公司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119,294,694.36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1.0185</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3,000.00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470,279,092.26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152,989,455.57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1.0199</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1.0199</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本产品Y30083份额净值为1.0185元，Y31083份额净值为1.0192元，Y32083份额净值为1.0199元。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339,820,990.63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45.76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22881599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22惠基产业01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13.47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22881356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22桐庐国资02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12.12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22881567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22泰州鑫泰02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8.08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22881374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22盛州集团01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6.73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22881378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22徐州高新01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6.73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华夏基金恒益1号集合资产管理计划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40,369,071.70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5.44</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无锡惠基产业发展有限公司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22惠基产业01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盐城盛州集团有限公司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22盛州集团01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126</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泰州鑫泰集团有限公司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22泰州鑫泰02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桐庐投资建设发展集团有限公司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22桐庐国资02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120</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徐州高新技术产业开发区国有资产经营有限公司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22徐州高新01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0120090000000946</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南银理财鑫逸稳一年83期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99,000,000.00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56,925.60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