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南银理财珠联璧合鑫悦享月月盈公募人民币理财产品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南银理财珠联璧合鑫悦享月月盈公募人民币理财产品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Z7003220000010（投资者可依据该编码在中国理财网www.chinawealth.com.cn查询理财产品相关信息）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开放式净值型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2019年09月26日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5,707,913,195.90份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106.54</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江苏省国际信托有限责任公司,太平资产管理有限公司,太平洋资产管理有限责任公司,鑫元基金管理有限公司,鑫沅资产管理有限公司,平安资产管理有限责任公司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Z40002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5,102,558,682.32</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1.0592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1.1513</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40,663.00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Z40007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663,744,406.47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1.0623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1.0894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Z41002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282,094,866.18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1.0597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1.0597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其中中低评级1-2年表现亮眼，下行70-80bp不等。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债市大幅调整的风险可控，预计为偏强震荡市，票息策略仍然占优。当前信用债收益率已处于较低水平，信用利差进一步压缩的空间有限，关注理财规模增长是否支撑信用债继续下行。考虑曲线形态较为平坦，中短端确定性相对更高，保持杠杆套息操作，择机参与交易机会。</w:t>
        <w:br w:type="textWrapping" w:clear="all"/>
      </w:r>
      <w:r>
        <w:rPr>
          <w:rFonts w:ascii="方正仿宋简体" w:eastAsia="方正仿宋简体" w:hint="eastAsia"/>
          <w:sz w:val="24"/>
          <w:szCs w:val="24"/>
        </w:rPr>
        <w:t xml:space="preserve">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本产品Z40002份额净值为1.0592元，Z40007份额净值为1.0623元，Z41002份额净值为1.0597元。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ZJQTT202205310001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太平洋稳健理财三号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503,754,206.37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8.33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230301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23进出01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350,811,300.00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5.80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ZJQTT202111100001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鑫沅资产金梅花631号集合资产管理计划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336,134,449.03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5.56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232380015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23工行二级资本债01A</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202,692,200.00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ZJQTT202304250023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太平资产稳赢36号资管产品</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200,783,929.45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ZJQTT202202160001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鑫元基金-鑫安利得57号集合资产管理计划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170,411,383.22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162142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19嵊州03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110,026,224.23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ZJQTT202302240001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江苏信托鑫盈4号集合资金信托计划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101,137,994.43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ZJQTT202210120003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平安资产如意52号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101,066,282.42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ZJQTT202210120002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平安资产如意51号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100,987,346.63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0120040000000331</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南京银行鑫悦享月月盈</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122,026,025.71</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546,723,158.91</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500,000,000.00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539,403.28</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1,282.63</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