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南银理财珠联璧合鑫逸稳一年109期（社会责任主题）封闭式公募人民币理财产品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南银理财珠联璧合鑫逸稳一年109期（社会责任主题）封闭式公募人民币理财产品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Z7003223000057（投资者可依据该编码在中国理财网www.chinawealth.com.cn查询理财产品相关信息）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2023年03月29日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947,612,341.00份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100.07</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鑫元基金管理有限公司,中国对外经济贸易信托有限公司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报告期（2023年03月29日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Y30109</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152,436,473.58</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1.0115</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1.0115</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Y31109</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361,119,816.79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1.0117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1.0117</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Y32109</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445,277,176.85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1.0120</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1.0120</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本产品Y30109份额净值为1.0115元，Y31109份额净值为1.0117元，Y32109份额净值为1.0120元。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317,603,351.65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33.12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23880887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23高教投资05</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198,000,000.00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20.65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151,607,142.85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15.81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23880803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23宿迁裕丰03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10.43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23880878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23绍兴城改01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10.43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23880902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23淮安城资02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52,000,000.00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5.42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151343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G19海兴1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30,330,028.81</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3.16</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淮安市淮安区城市资产经营有限公司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23淮安城资02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282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泰州高教投资发展有限公司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23高教投资05</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281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绍兴市城中村改造建设投资有限公司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23绍兴城改01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279</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宿迁裕丰产业投资发展管理集团有限公司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23宿迁裕丰03</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273</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0120090000001111</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南银理财鑫逸稳一年109期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450,000,000.00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535,000,000.00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1,270,600.43</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