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00" w:lineRule="exact"/>
        <w:jc w:val="center"/>
        <w:outlineLvl w:val="1"/>
        <w:rPr>
          <w:rFonts w:ascii="Times New Roman" w:hAnsi="Times New Roman" w:eastAsia="黑体" w:cs="Times New Roman"/>
          <w:sz w:val="22"/>
        </w:rPr>
      </w:pPr>
      <w:r>
        <w:rPr>
          <w:rFonts w:ascii="Times New Roman" w:hAnsi="Times New Roman" w:eastAsia="黑体" w:cs="Times New Roman"/>
          <w:sz w:val="22"/>
        </w:rPr>
        <w:t>信银理财理财产品投资协议书</w:t>
      </w:r>
    </w:p>
    <w:p>
      <w:pPr>
        <w:spacing w:line="300" w:lineRule="exact"/>
        <w:ind w:firstLine="480"/>
        <w:rPr>
          <w:rFonts w:ascii="Times New Roman" w:hAnsi="Times New Roman" w:eastAsia="楷体_GB2312" w:cs="Times New Roman"/>
          <w:sz w:val="20"/>
          <w:szCs w:val="20"/>
        </w:rPr>
      </w:pPr>
    </w:p>
    <w:p>
      <w:pPr>
        <w:spacing w:line="300" w:lineRule="exact"/>
        <w:ind w:firstLine="480"/>
        <w:rPr>
          <w:rFonts w:ascii="Times New Roman" w:hAnsi="Times New Roman" w:eastAsia="楷体_GB2312" w:cs="Times New Roman"/>
          <w:b/>
          <w:sz w:val="20"/>
          <w:szCs w:val="20"/>
        </w:rPr>
      </w:pPr>
      <w:r>
        <w:rPr>
          <w:rFonts w:ascii="Times New Roman" w:hAnsi="Times New Roman" w:eastAsia="楷体_GB2312" w:cs="Times New Roman"/>
          <w:b/>
          <w:sz w:val="20"/>
          <w:szCs w:val="20"/>
        </w:rPr>
        <w:t>甲方：投资者（投资者信息详见签署页）</w:t>
      </w:r>
    </w:p>
    <w:p>
      <w:pPr>
        <w:spacing w:line="300" w:lineRule="exact"/>
        <w:ind w:firstLine="480"/>
        <w:rPr>
          <w:rFonts w:ascii="Times New Roman" w:hAnsi="Times New Roman" w:eastAsia="楷体_GB2312" w:cs="Times New Roman"/>
          <w:b/>
          <w:sz w:val="20"/>
          <w:szCs w:val="20"/>
        </w:rPr>
      </w:pPr>
      <w:r>
        <w:rPr>
          <w:rFonts w:ascii="Times New Roman" w:hAnsi="Times New Roman" w:eastAsia="楷体_GB2312" w:cs="Times New Roman"/>
          <w:b/>
          <w:sz w:val="20"/>
          <w:szCs w:val="20"/>
        </w:rPr>
        <w:t>乙方：信银理财有限责任公司</w:t>
      </w:r>
    </w:p>
    <w:p>
      <w:pPr>
        <w:spacing w:line="300" w:lineRule="exact"/>
        <w:ind w:firstLine="480"/>
        <w:rPr>
          <w:rFonts w:ascii="Times New Roman" w:hAnsi="Times New Roman" w:eastAsia="楷体_GB2312" w:cs="Times New Roman"/>
          <w:sz w:val="20"/>
          <w:szCs w:val="20"/>
        </w:rPr>
      </w:pP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经甲方和乙方平等协商，就甲方认购/申购乙方发行的理财产品（以下简称"理财产品"），达成本协议如下：</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b/>
          <w:bCs/>
          <w:sz w:val="20"/>
          <w:szCs w:val="20"/>
        </w:rPr>
        <w:t>一、适用范围</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甲方在认购/申购乙方发行的理财产品之前应签署本协议。本协议生效后，甲方认购/申购</w:t>
      </w:r>
      <w:r>
        <w:rPr>
          <w:rFonts w:hint="eastAsia" w:ascii="Times New Roman" w:hAnsi="Times New Roman" w:eastAsia="楷体_GB2312" w:cs="Times New Roman"/>
          <w:sz w:val="20"/>
          <w:szCs w:val="20"/>
        </w:rPr>
        <w:t>乙方</w:t>
      </w:r>
      <w:r>
        <w:rPr>
          <w:rFonts w:ascii="Times New Roman" w:hAnsi="Times New Roman" w:eastAsia="楷体_GB2312" w:cs="Times New Roman"/>
          <w:sz w:val="20"/>
          <w:szCs w:val="20"/>
        </w:rPr>
        <w:t>发行的理财产品的，均适用本协议。</w:t>
      </w:r>
      <w:bookmarkStart w:id="1" w:name="_GoBack"/>
      <w:bookmarkEnd w:id="1"/>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本协议与甲方认购/申购理财产品的《信银理财理财产品产品说明书》《信银理财理财产品风险揭示书》《信银理财理财产品销售总协议》（含附件：客户权益须知专页）</w:t>
      </w:r>
      <w:r>
        <w:rPr>
          <w:rFonts w:hint="eastAsia" w:ascii="Times New Roman" w:hAnsi="Times New Roman" w:eastAsia="楷体_GB2312" w:cs="Times New Roman"/>
          <w:sz w:val="20"/>
          <w:szCs w:val="20"/>
        </w:rPr>
        <w:t>（或合作销售机构向投资者提供的理财产品销售协议文本）</w:t>
      </w:r>
      <w:r>
        <w:rPr>
          <w:rFonts w:ascii="Times New Roman" w:hAnsi="Times New Roman" w:eastAsia="楷体_GB2312" w:cs="Times New Roman"/>
          <w:sz w:val="20"/>
          <w:szCs w:val="20"/>
        </w:rPr>
        <w:t>共同构成一份完整的理财产品销售文件（以下简称"产品销售文件"）。甲方认购/申购</w:t>
      </w:r>
      <w:r>
        <w:rPr>
          <w:rFonts w:hint="eastAsia" w:ascii="Times New Roman" w:hAnsi="Times New Roman" w:eastAsia="楷体_GB2312" w:cs="Times New Roman"/>
          <w:sz w:val="20"/>
          <w:szCs w:val="20"/>
        </w:rPr>
        <w:t>乙方</w:t>
      </w:r>
      <w:r>
        <w:rPr>
          <w:rFonts w:ascii="Times New Roman" w:hAnsi="Times New Roman" w:eastAsia="楷体_GB2312" w:cs="Times New Roman"/>
          <w:sz w:val="20"/>
          <w:szCs w:val="20"/>
        </w:rPr>
        <w:t>多支理财产品时，不同产品的《信银理财理财产品产品说明书》组成的产品销售文件互相独立。</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本协议不作为甲方认购/申购或持有理财产品的凭证。</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b/>
          <w:bCs/>
          <w:sz w:val="20"/>
          <w:szCs w:val="20"/>
        </w:rPr>
        <w:t>二、风险提示</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b/>
          <w:bCs/>
          <w:sz w:val="20"/>
          <w:szCs w:val="20"/>
        </w:rPr>
        <w:t>理财非存款、产品有风险、投资须谨慎，理财产品过往业绩不代表其未来表现，不等于理财产品实际收益。投资者投资理财产品的，基于所投资的不同理财产品可能面临包括但不限于信用风险、市场风险、流动性风险、提前终止风险、政策风险、信息传递风险、管理风险、延期清算风险、产品不成立风险、不可抗力及意外事件风险、</w:t>
      </w:r>
      <w:r>
        <w:rPr>
          <w:rFonts w:hint="eastAsia" w:ascii="Times New Roman" w:hAnsi="Times New Roman" w:eastAsia="楷体_GB2312" w:cs="Times New Roman"/>
          <w:b/>
          <w:bCs/>
          <w:sz w:val="20"/>
          <w:szCs w:val="20"/>
        </w:rPr>
        <w:t>关联交易</w:t>
      </w:r>
      <w:r>
        <w:rPr>
          <w:rFonts w:ascii="Times New Roman" w:hAnsi="Times New Roman" w:eastAsia="楷体_GB2312" w:cs="Times New Roman"/>
          <w:b/>
          <w:bCs/>
          <w:sz w:val="20"/>
          <w:szCs w:val="20"/>
        </w:rPr>
        <w:t>风险、合作销售机构风险、操作风险等风险，具体风险请甲方仔细阅读认购/申购的理财产品的《信银理财理财产品产品说明书》和《信银理财理财产品风险揭示书》中的相应条款。</w:t>
      </w:r>
    </w:p>
    <w:p>
      <w:pPr>
        <w:spacing w:line="300" w:lineRule="exact"/>
        <w:ind w:firstLine="480"/>
        <w:rPr>
          <w:rFonts w:ascii="Times New Roman" w:hAnsi="Times New Roman" w:eastAsia="楷体_GB2312" w:cs="Times New Roman"/>
          <w:b/>
          <w:bCs/>
          <w:sz w:val="20"/>
          <w:szCs w:val="20"/>
        </w:rPr>
      </w:pPr>
      <w:r>
        <w:rPr>
          <w:rFonts w:ascii="Times New Roman" w:hAnsi="Times New Roman" w:eastAsia="楷体_GB2312" w:cs="Times New Roman"/>
          <w:b/>
          <w:bCs/>
          <w:sz w:val="20"/>
          <w:szCs w:val="20"/>
        </w:rPr>
        <w:t>三、投资条款</w:t>
      </w:r>
    </w:p>
    <w:p>
      <w:pPr>
        <w:spacing w:line="300" w:lineRule="exact"/>
        <w:ind w:firstLine="480"/>
        <w:rPr>
          <w:rFonts w:ascii="Times New Roman" w:hAnsi="Times New Roman" w:eastAsia="楷体_GB2312" w:cs="Times New Roman"/>
          <w:b/>
          <w:bCs/>
          <w:sz w:val="20"/>
          <w:szCs w:val="20"/>
        </w:rPr>
      </w:pPr>
      <w:r>
        <w:rPr>
          <w:rFonts w:ascii="Times New Roman" w:hAnsi="Times New Roman" w:eastAsia="楷体_GB2312" w:cs="Times New Roman"/>
          <w:bCs/>
          <w:sz w:val="20"/>
          <w:szCs w:val="20"/>
        </w:rPr>
        <w:t>甲方认购/申购理财产品的具体认购/申购条件、流程、金额、份额、费用以及其他投资条款，由甲方实际认购/申购的理财产品的《信银理财理财产品产品说明书》具体约定。</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b/>
          <w:bCs/>
          <w:sz w:val="20"/>
          <w:szCs w:val="20"/>
        </w:rPr>
        <w:t>四、甲方的权利与义务</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（一）甲方具有完全民事行为能力，有完全适当的资格与能力订立并履行理财产品合同，不存在法律、行政法规有关规定禁止或限制投资理财产品的情形（适用于个人投资者）；</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甲方确认签署和履行理财产品销售文件系其真实意思表示，已经按照其章程或者其它内部管理文件的要求取得合法、有效的授权且不会违反对其有约束力的任何合同和其他法律文件；甲方已经取得签订和履行理财产品合同所需的一切有关批准、许可、备案或者登记。（适用于机构投资者）；</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（二）甲方保证以真实身份投资本理财产品，保证提供给产品管理人</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代销机构的信息和资料均真实、准确、完整、合法。如甲方的信息和/或资料发生变更，应当及时书面告知产品管理人或代销机构；</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（三）甲方声明熟悉理财产品类型特征及不同销售渠道的法律法规规定；</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（四）甲方承诺：如委托他人购买本产品，代理人须出具具有法律效力的授权委托书；</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（五）甲方保证理财投资资金来源和用途合法，保证可向产品管理人</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代销机构提供合法筹集的证明文件；</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（六）甲方不得利用理财业务及理财产品合同项下理财产品从事违法活动；</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七）甲方保证遵守国家反洗钱法律、法规及相关政策要求，不从事涉及洗钱、恐怖融资、逃税、逃废债务、套取现金等违法违规活动，积极配合管理人/代销机构开展投资者身份识别、交易记录保存、投资者身份及交易背景尽职调查、大额和可疑交易报告等各项反洗钱工作，并按要求提供相关证明材料；</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（八）甲方不属于联合国、欧盟或美国等制裁名单，及中国政府部门或有权机关发布的涉恐及反洗钱相关风险名单内的企业或个人；不位于被联合国、欧盟或美国等制裁的国家和地区；</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（九）甲方保证不使用贷款、发行债券等筹集的非自有资金投资理财产品，保证投资本理财产品不存在违反监管要求的产品嵌套，以及以投资本理财产品规避投资范围、杠杆约束等监管要求等违规行为。</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b/>
          <w:bCs/>
          <w:sz w:val="20"/>
          <w:szCs w:val="20"/>
        </w:rPr>
        <w:t>五、乙方的权利与义务</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（一）乙方具有开办理财业务的经营资质，保证以诚实守信、勤勉尽职的原则管理和运用理财资金；</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sz w:val="20"/>
          <w:szCs w:val="20"/>
        </w:rPr>
        <w:t>（二）乙方具有完全适当的资格和能力订立与履行理财产品合同。</w:t>
      </w:r>
    </w:p>
    <w:p>
      <w:pPr>
        <w:spacing w:line="300" w:lineRule="exact"/>
        <w:ind w:firstLine="480"/>
        <w:rPr>
          <w:rFonts w:ascii="Times New Roman" w:hAnsi="Times New Roman" w:eastAsia="楷体_GB2312" w:cs="Times New Roman"/>
          <w:sz w:val="20"/>
          <w:szCs w:val="20"/>
        </w:rPr>
      </w:pPr>
      <w:r>
        <w:rPr>
          <w:rFonts w:ascii="Times New Roman" w:hAnsi="Times New Roman" w:eastAsia="楷体_GB2312" w:cs="Times New Roman"/>
          <w:b/>
          <w:bCs/>
          <w:sz w:val="20"/>
          <w:szCs w:val="20"/>
        </w:rPr>
        <w:t>六、违约责任</w:t>
      </w:r>
    </w:p>
    <w:p>
      <w:pPr>
        <w:spacing w:line="300" w:lineRule="exact"/>
        <w:ind w:firstLine="480"/>
        <w:rPr>
          <w:rFonts w:ascii="Times New Roman" w:hAnsi="Times New Roman" w:eastAsia="楷体_GB2312" w:cs="Times New Roman"/>
          <w:bCs/>
          <w:sz w:val="20"/>
          <w:szCs w:val="20"/>
        </w:rPr>
      </w:pPr>
      <w:r>
        <w:rPr>
          <w:rFonts w:ascii="Times New Roman" w:hAnsi="Times New Roman" w:eastAsia="楷体_GB2312" w:cs="Times New Roman"/>
          <w:bCs/>
          <w:sz w:val="20"/>
          <w:szCs w:val="20"/>
        </w:rPr>
        <w:t>双方因违反本协议约定而给对方造成损失的，违约方应赔偿因此给对方造成的直接损失。</w:t>
      </w:r>
    </w:p>
    <w:p>
      <w:pPr>
        <w:spacing w:line="300" w:lineRule="exact"/>
        <w:ind w:firstLine="480"/>
        <w:rPr>
          <w:rFonts w:ascii="Times New Roman" w:hAnsi="Times New Roman" w:eastAsia="楷体_GB2312" w:cs="Times New Roman"/>
          <w:b/>
          <w:bCs/>
          <w:sz w:val="20"/>
          <w:szCs w:val="20"/>
        </w:rPr>
      </w:pPr>
      <w:r>
        <w:rPr>
          <w:rFonts w:ascii="Times New Roman" w:hAnsi="Times New Roman" w:eastAsia="楷体_GB2312" w:cs="Times New Roman"/>
          <w:b/>
          <w:bCs/>
          <w:sz w:val="20"/>
          <w:szCs w:val="20"/>
        </w:rPr>
        <w:t>七、免责内容</w:t>
      </w:r>
    </w:p>
    <w:p>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因法律法规或监管政策变化、自然灾害、意外事故、战争、系统故障、通讯故障等信银理财客观不能预见、不能避免、不能克服的不可抗力事件或意外事件，导致信银理财无法或延后履行本产品说明书有关义务的，信银理财不承担责任。但因信银理财故意或重大过失造成的系统故障、通讯故障的除外。前述约定不免除因信银理财过错导致依法应由产品管理人承担的责任。乙方应在条件允许的情况下，采取必要的补救措施以减少不可抗力造成的损失</w:t>
      </w:r>
      <w:r>
        <w:rPr>
          <w:rFonts w:ascii="Times New Roman" w:hAnsi="Times New Roman" w:eastAsia="楷体_GB2312" w:cs="Times New Roman"/>
          <w:b/>
          <w:bCs/>
          <w:sz w:val="20"/>
          <w:szCs w:val="20"/>
        </w:rPr>
        <w:t>。</w:t>
      </w:r>
    </w:p>
    <w:p>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bCs/>
          <w:sz w:val="20"/>
          <w:szCs w:val="20"/>
        </w:rPr>
        <w:t>八、争议解决</w:t>
      </w:r>
    </w:p>
    <w:p>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sz w:val="20"/>
          <w:szCs w:val="20"/>
        </w:rPr>
        <w:t>本协议及产品销售文件均适用中华人民共和国法律（为履行本协议之目的，不包括中国香港特别行政区、澳门特别行政区及台湾地区法律）。</w:t>
      </w:r>
    </w:p>
    <w:p>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bCs/>
          <w:sz w:val="20"/>
          <w:szCs w:val="20"/>
        </w:rPr>
        <w:t>甲乙双方在本协议项下发生任何争议时，应本着诚实信用的原则通过协商解决。如通过协商仍不能解决争议时，双方均同意向信银理财住所地有管辖权的人民法院提起诉讼。</w:t>
      </w:r>
    </w:p>
    <w:p>
      <w:pPr>
        <w:spacing w:line="300" w:lineRule="exact"/>
        <w:ind w:firstLine="480"/>
        <w:rPr>
          <w:rFonts w:ascii="Times New Roman" w:hAnsi="Times New Roman" w:eastAsia="楷体_GB2312" w:cs="Times New Roman"/>
          <w:b/>
          <w:sz w:val="20"/>
          <w:szCs w:val="20"/>
        </w:rPr>
      </w:pPr>
      <w:r>
        <w:rPr>
          <w:rFonts w:ascii="Times New Roman" w:hAnsi="Times New Roman" w:eastAsia="楷体_GB2312" w:cs="Times New Roman"/>
          <w:b/>
          <w:sz w:val="20"/>
          <w:szCs w:val="20"/>
        </w:rPr>
        <w:t>九、附则</w:t>
      </w:r>
    </w:p>
    <w:p>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sz w:val="20"/>
          <w:szCs w:val="20"/>
        </w:rPr>
        <w:t>（一）本协议通过纸质形式签署的，自甲方签署（甲方为自然人的，应签字；甲方为机构或产品的，应加盖机构或产品管理人公章且其法定代表人或授权代表签章）且甲方产品认购</w:t>
      </w:r>
      <w:r>
        <w:rPr>
          <w:rFonts w:ascii="Times New Roman" w:hAnsi="Times New Roman" w:eastAsia="楷体_GB2312" w:cs="Times New Roman"/>
          <w:b/>
          <w:sz w:val="20"/>
          <w:szCs w:val="20"/>
        </w:rPr>
        <w:t>/</w:t>
      </w:r>
      <w:r>
        <w:rPr>
          <w:rFonts w:hint="eastAsia" w:ascii="Times New Roman" w:hAnsi="Times New Roman" w:eastAsia="楷体_GB2312" w:cs="Times New Roman"/>
          <w:b/>
          <w:sz w:val="20"/>
          <w:szCs w:val="20"/>
        </w:rPr>
        <w:t>申购份额经乙方确认后生效。本协议通过电子形式签署的，自甲方通过乙方产品的各电子销售渠道（包括直销和代销）在线点击确认或勾选且甲方产品认购</w:t>
      </w:r>
      <w:r>
        <w:rPr>
          <w:rFonts w:ascii="Times New Roman" w:hAnsi="Times New Roman" w:eastAsia="楷体_GB2312" w:cs="Times New Roman"/>
          <w:b/>
          <w:sz w:val="20"/>
          <w:szCs w:val="20"/>
        </w:rPr>
        <w:t>/</w:t>
      </w:r>
      <w:r>
        <w:rPr>
          <w:rFonts w:hint="eastAsia" w:ascii="Times New Roman" w:hAnsi="Times New Roman" w:eastAsia="楷体_GB2312" w:cs="Times New Roman"/>
          <w:b/>
          <w:sz w:val="20"/>
          <w:szCs w:val="20"/>
        </w:rPr>
        <w:t>申购份额经乙方确认后生效。甲方知悉并确认，乙方对于甲方认购</w:t>
      </w:r>
      <w:r>
        <w:rPr>
          <w:rFonts w:ascii="Times New Roman" w:hAnsi="Times New Roman" w:eastAsia="楷体_GB2312" w:cs="Times New Roman"/>
          <w:b/>
          <w:sz w:val="20"/>
          <w:szCs w:val="20"/>
        </w:rPr>
        <w:t>/</w:t>
      </w:r>
      <w:r>
        <w:rPr>
          <w:rFonts w:hint="eastAsia" w:ascii="Times New Roman" w:hAnsi="Times New Roman" w:eastAsia="楷体_GB2312" w:cs="Times New Roman"/>
          <w:b/>
          <w:sz w:val="20"/>
          <w:szCs w:val="20"/>
        </w:rPr>
        <w:t>申购份额的确认即视为乙方对于本协议的签署和认可，甲方不得以乙方未在本协议上盖章为由主张本协议无效。</w:t>
      </w:r>
    </w:p>
    <w:p>
      <w:pPr>
        <w:spacing w:line="300" w:lineRule="exact"/>
        <w:ind w:firstLine="480"/>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（二）本协议条款与《信银理财理财产品产品说明书》条款不一致的，以《信银理财理财产品产品说明书》的约定为准。</w:t>
      </w:r>
    </w:p>
    <w:p>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sz w:val="20"/>
          <w:szCs w:val="20"/>
        </w:rPr>
        <w:t>（三）如果由于任何原因使本协议下的任何条款或者内容成为无效或者依法被撤消，本协议其他条款或内容的合法性，有效性和可执行性不受影响。</w:t>
      </w:r>
    </w:p>
    <w:p>
      <w:pPr>
        <w:spacing w:line="300" w:lineRule="exact"/>
        <w:rPr>
          <w:rFonts w:ascii="Times New Roman" w:hAnsi="Times New Roman" w:eastAsia="楷体_GB2312" w:cs="Times New Roman"/>
          <w:sz w:val="20"/>
          <w:szCs w:val="20"/>
        </w:rPr>
      </w:pPr>
    </w:p>
    <w:p>
      <w:pPr>
        <w:spacing w:line="300" w:lineRule="exact"/>
        <w:rPr>
          <w:rFonts w:ascii="Times New Roman" w:hAnsi="Times New Roman" w:eastAsia="楷体_GB2312" w:cs="Times New Roman"/>
          <w:sz w:val="20"/>
          <w:szCs w:val="20"/>
        </w:rPr>
      </w:pPr>
    </w:p>
    <w:p>
      <w:pPr>
        <w:spacing w:line="300" w:lineRule="exact"/>
        <w:rPr>
          <w:rFonts w:ascii="Times New Roman" w:hAnsi="Times New Roman" w:eastAsia="楷体_GB2312" w:cs="Times New Roman"/>
          <w:sz w:val="20"/>
          <w:szCs w:val="20"/>
        </w:rPr>
      </w:pPr>
      <w:r>
        <w:rPr>
          <w:rFonts w:ascii="Times New Roman" w:hAnsi="Times New Roman" w:eastAsia="楷体_GB2312" w:cs="Times New Roman"/>
          <w:b/>
          <w:sz w:val="20"/>
          <w:szCs w:val="20"/>
        </w:rPr>
        <w:t>甲方</w:t>
      </w:r>
      <w:r>
        <w:rPr>
          <w:rFonts w:ascii="Times New Roman" w:hAnsi="Times New Roman" w:eastAsia="楷体_GB2312" w:cs="Times New Roman"/>
          <w:sz w:val="20"/>
          <w:szCs w:val="20"/>
        </w:rPr>
        <w:t xml:space="preserve">：个人投资者（签字）:               </w:t>
      </w:r>
    </w:p>
    <w:p>
      <w:pPr>
        <w:spacing w:line="300" w:lineRule="exact"/>
        <w:ind w:firstLine="600" w:firstLineChars="300"/>
        <w:rPr>
          <w:rFonts w:ascii="Times New Roman" w:hAnsi="Times New Roman" w:eastAsia="楷体_GB2312" w:cs="Times New Roman"/>
          <w:sz w:val="20"/>
          <w:szCs w:val="20"/>
        </w:rPr>
      </w:pPr>
    </w:p>
    <w:p>
      <w:pPr>
        <w:spacing w:line="300" w:lineRule="exact"/>
        <w:ind w:firstLine="600" w:firstLineChars="300"/>
        <w:rPr>
          <w:rFonts w:ascii="Times New Roman" w:hAnsi="Times New Roman" w:eastAsia="楷体_GB2312" w:cs="Times New Roman"/>
          <w:sz w:val="20"/>
          <w:szCs w:val="20"/>
        </w:rPr>
      </w:pPr>
      <w:r>
        <w:rPr>
          <w:rFonts w:ascii="Times New Roman" w:hAnsi="Times New Roman" w:eastAsia="楷体_GB2312" w:cs="Times New Roman"/>
          <w:sz w:val="20"/>
          <w:szCs w:val="20"/>
        </w:rPr>
        <w:t xml:space="preserve">机构投资者（公章）:   </w:t>
      </w:r>
    </w:p>
    <w:p>
      <w:pPr>
        <w:spacing w:line="300" w:lineRule="exact"/>
        <w:ind w:firstLine="600" w:firstLineChars="300"/>
        <w:rPr>
          <w:rFonts w:ascii="Times New Roman" w:hAnsi="Times New Roman" w:eastAsia="楷体_GB2312" w:cs="Times New Roman"/>
          <w:sz w:val="20"/>
          <w:szCs w:val="20"/>
        </w:rPr>
      </w:pPr>
      <w:r>
        <w:rPr>
          <w:rFonts w:ascii="Times New Roman" w:hAnsi="Times New Roman" w:eastAsia="楷体_GB2312" w:cs="Times New Roman"/>
          <w:sz w:val="20"/>
          <w:szCs w:val="20"/>
        </w:rPr>
        <w:t xml:space="preserve">            </w:t>
      </w:r>
    </w:p>
    <w:p>
      <w:pPr>
        <w:spacing w:line="300" w:lineRule="exact"/>
        <w:ind w:firstLine="600" w:firstLineChars="300"/>
        <w:rPr>
          <w:rFonts w:ascii="Times New Roman" w:hAnsi="Times New Roman" w:eastAsia="楷体_GB2312" w:cs="Times New Roman"/>
          <w:sz w:val="20"/>
          <w:szCs w:val="20"/>
        </w:rPr>
      </w:pPr>
      <w:r>
        <w:rPr>
          <w:rFonts w:ascii="Times New Roman" w:hAnsi="Times New Roman" w:eastAsia="楷体_GB2312" w:cs="Times New Roman"/>
          <w:sz w:val="20"/>
          <w:szCs w:val="20"/>
        </w:rPr>
        <w:t>法定代表人/负责人/授权代表（签字/盖章）：</w:t>
      </w:r>
    </w:p>
    <w:p>
      <w:pPr>
        <w:spacing w:line="300" w:lineRule="exact"/>
        <w:ind w:firstLine="600" w:firstLineChars="300"/>
        <w:rPr>
          <w:rFonts w:ascii="Times New Roman" w:hAnsi="Times New Roman" w:eastAsia="楷体_GB2312" w:cs="Times New Roman"/>
          <w:sz w:val="20"/>
          <w:szCs w:val="20"/>
        </w:rPr>
      </w:pPr>
    </w:p>
    <w:p>
      <w:pPr>
        <w:spacing w:line="300" w:lineRule="exact"/>
        <w:ind w:firstLine="600" w:firstLineChars="300"/>
        <w:rPr>
          <w:rFonts w:ascii="Times New Roman" w:hAnsi="Times New Roman" w:eastAsia="楷体_GB2312" w:cs="Times New Roman"/>
          <w:sz w:val="20"/>
          <w:szCs w:val="20"/>
        </w:rPr>
      </w:pPr>
      <w:r>
        <w:rPr>
          <w:rFonts w:ascii="Times New Roman" w:hAnsi="Times New Roman" w:eastAsia="楷体_GB2312" w:cs="Times New Roman"/>
          <w:sz w:val="20"/>
          <w:szCs w:val="20"/>
        </w:rPr>
        <w:t>证件类别</w:t>
      </w:r>
      <w:r>
        <w:rPr>
          <w:rFonts w:hint="eastAsia" w:ascii="Times New Roman" w:hAnsi="Times New Roman" w:eastAsia="楷体_GB2312" w:cs="Times New Roman"/>
          <w:sz w:val="20"/>
          <w:szCs w:val="20"/>
        </w:rPr>
        <w:t>（个人</w:t>
      </w:r>
      <w:r>
        <w:rPr>
          <w:rFonts w:ascii="Times New Roman" w:hAnsi="Times New Roman" w:eastAsia="楷体_GB2312" w:cs="Times New Roman"/>
          <w:sz w:val="20"/>
          <w:szCs w:val="20"/>
        </w:rPr>
        <w:t xml:space="preserve">投资者）：             </w:t>
      </w:r>
    </w:p>
    <w:p>
      <w:pPr>
        <w:spacing w:line="300" w:lineRule="exact"/>
        <w:ind w:firstLine="600" w:firstLineChars="300"/>
        <w:rPr>
          <w:rFonts w:ascii="Times New Roman" w:hAnsi="Times New Roman" w:eastAsia="楷体_GB2312" w:cs="Times New Roman"/>
          <w:sz w:val="20"/>
          <w:szCs w:val="20"/>
        </w:rPr>
      </w:pPr>
    </w:p>
    <w:p>
      <w:pPr>
        <w:spacing w:line="300" w:lineRule="exact"/>
        <w:ind w:firstLine="600" w:firstLineChars="300"/>
        <w:rPr>
          <w:rFonts w:hint="eastAsia" w:ascii="Times New Roman" w:hAnsi="Times New Roman" w:eastAsia="楷体_GB2312" w:cs="Times New Roman"/>
          <w:sz w:val="20"/>
          <w:szCs w:val="20"/>
        </w:rPr>
      </w:pPr>
      <w:r>
        <w:rPr>
          <w:rFonts w:ascii="Times New Roman" w:hAnsi="Times New Roman" w:eastAsia="楷体_GB2312" w:cs="Times New Roman"/>
          <w:sz w:val="20"/>
          <w:szCs w:val="20"/>
        </w:rPr>
        <w:t>证件号</w:t>
      </w:r>
      <w:r>
        <w:rPr>
          <w:rFonts w:hint="eastAsia" w:ascii="Times New Roman" w:hAnsi="Times New Roman" w:eastAsia="楷体_GB2312" w:cs="Times New Roman"/>
          <w:sz w:val="20"/>
          <w:szCs w:val="20"/>
        </w:rPr>
        <w:t>（个人</w:t>
      </w:r>
      <w:r>
        <w:rPr>
          <w:rFonts w:ascii="Times New Roman" w:hAnsi="Times New Roman" w:eastAsia="楷体_GB2312" w:cs="Times New Roman"/>
          <w:sz w:val="20"/>
          <w:szCs w:val="20"/>
        </w:rPr>
        <w:t>投资者）：</w:t>
      </w:r>
      <w:bookmarkStart w:id="0" w:name="OLE_LINK1"/>
      <w:r>
        <w:rPr>
          <w:rFonts w:hint="eastAsia" w:ascii="Times New Roman" w:hAnsi="Times New Roman" w:eastAsia="楷体_GB2312" w:cs="Times New Roman"/>
          <w:sz w:val="20"/>
          <w:szCs w:val="20"/>
        </w:rPr>
        <w:t xml:space="preserve">          </w:t>
      </w:r>
    </w:p>
    <w:p>
      <w:pPr>
        <w:pStyle w:val="18"/>
        <w:wordWrap w:val="0"/>
        <w:spacing w:line="400" w:lineRule="exact"/>
        <w:ind w:right="280" w:firstLine="480" w:firstLineChars="200"/>
        <w:jc w:val="right"/>
        <w:rPr>
          <w:rFonts w:hint="eastAsia" w:ascii="仿宋" w:hAnsi="仿宋" w:eastAsia="仿宋" w:cs="仿宋"/>
          <w:szCs w:val="28"/>
        </w:rPr>
      </w:pPr>
    </w:p>
    <w:p>
      <w:pPr>
        <w:pStyle w:val="18"/>
        <w:wordWrap w:val="0"/>
        <w:spacing w:line="400" w:lineRule="exact"/>
        <w:ind w:right="280" w:firstLine="560" w:firstLineChars="200"/>
        <w:jc w:val="right"/>
        <w:rPr>
          <w:rFonts w:ascii="仿宋" w:hAnsi="仿宋" w:eastAsia="仿宋" w:cs="仿宋"/>
          <w:sz w:val="28"/>
          <w:szCs w:val="28"/>
        </w:rPr>
      </w:pPr>
      <w:r>
        <w:rPr>
          <w:rFonts w:hint="eastAsia" w:ascii="仿宋" w:hAnsi="仿宋" w:eastAsia="仿宋" w:cs="仿宋"/>
          <w:bCs/>
          <w:sz w:val="28"/>
          <w:szCs w:val="28"/>
        </w:rPr>
        <w:t>合同编号：（                     ）号</w:t>
      </w:r>
    </w:p>
    <w:p>
      <w:pPr>
        <w:rPr>
          <w:rFonts w:ascii="宋体" w:hAnsi="宋体"/>
          <w:b/>
          <w:color w:val="000000"/>
          <w:sz w:val="28"/>
        </w:rPr>
      </w:pPr>
    </w:p>
    <w:p>
      <w:pPr>
        <w:pStyle w:val="19"/>
        <w:jc w:val="center"/>
        <w:rPr>
          <w:rFonts w:ascii="仿宋" w:hAnsi="仿宋" w:eastAsia="仿宋" w:cs="仿宋"/>
          <w:sz w:val="52"/>
          <w:szCs w:val="52"/>
        </w:rPr>
      </w:pPr>
    </w:p>
    <w:p>
      <w:pPr>
        <w:pStyle w:val="19"/>
        <w:jc w:val="center"/>
        <w:rPr>
          <w:rFonts w:ascii="仿宋" w:hAnsi="仿宋" w:eastAsia="仿宋" w:cs="仿宋"/>
          <w:sz w:val="52"/>
          <w:szCs w:val="52"/>
        </w:rPr>
      </w:pPr>
    </w:p>
    <w:p>
      <w:pPr>
        <w:pStyle w:val="19"/>
        <w:jc w:val="center"/>
        <w:rPr>
          <w:rFonts w:ascii="仿宋" w:hAnsi="仿宋" w:eastAsia="仿宋" w:cs="仿宋"/>
          <w:sz w:val="52"/>
          <w:szCs w:val="52"/>
        </w:rPr>
      </w:pPr>
    </w:p>
    <w:p>
      <w:pPr>
        <w:pStyle w:val="19"/>
        <w:jc w:val="center"/>
        <w:rPr>
          <w:rFonts w:cs="仿宋" w:asciiTheme="majorEastAsia" w:hAnsiTheme="majorEastAsia" w:eastAsiaTheme="majorEastAsia"/>
          <w:sz w:val="52"/>
          <w:szCs w:val="52"/>
        </w:rPr>
      </w:pPr>
      <w:r>
        <w:rPr>
          <w:rFonts w:hint="eastAsia" w:cs="仿宋" w:asciiTheme="majorEastAsia" w:hAnsiTheme="majorEastAsia" w:eastAsiaTheme="majorEastAsia"/>
          <w:sz w:val="52"/>
          <w:szCs w:val="52"/>
        </w:rPr>
        <w:t>信银理财理财产品销售协议</w:t>
      </w:r>
    </w:p>
    <w:p>
      <w:pPr>
        <w:pStyle w:val="19"/>
        <w:jc w:val="center"/>
        <w:rPr>
          <w:rFonts w:cs="仿宋" w:asciiTheme="majorEastAsia" w:hAnsiTheme="majorEastAsia" w:eastAsiaTheme="majorEastAsia"/>
          <w:sz w:val="52"/>
          <w:szCs w:val="52"/>
        </w:rPr>
      </w:pPr>
      <w:r>
        <w:rPr>
          <w:rFonts w:hint="eastAsia" w:cs="仿宋" w:asciiTheme="majorEastAsia" w:hAnsiTheme="majorEastAsia" w:eastAsiaTheme="majorEastAsia"/>
          <w:sz w:val="52"/>
          <w:szCs w:val="52"/>
        </w:rPr>
        <w:t>（适用于个人客户）</w:t>
      </w:r>
    </w:p>
    <w:p>
      <w:pPr>
        <w:pStyle w:val="19"/>
        <w:jc w:val="center"/>
        <w:rPr>
          <w:rFonts w:ascii="仿宋" w:hAnsi="仿宋" w:eastAsia="仿宋" w:cs="仿宋"/>
          <w:sz w:val="28"/>
          <w:szCs w:val="28"/>
        </w:rPr>
      </w:pPr>
      <w:r>
        <w:rPr>
          <w:rFonts w:hint="eastAsia" w:ascii="仿宋" w:hAnsi="仿宋" w:eastAsia="仿宋" w:cs="仿宋"/>
          <w:sz w:val="28"/>
          <w:szCs w:val="28"/>
        </w:rPr>
        <w:t>（1.0版，</w:t>
      </w:r>
      <w:r>
        <w:rPr>
          <w:rFonts w:ascii="仿宋" w:hAnsi="仿宋" w:eastAsia="仿宋" w:cs="仿宋"/>
          <w:sz w:val="28"/>
          <w:szCs w:val="28"/>
        </w:rPr>
        <w:t>2021</w:t>
      </w:r>
      <w:r>
        <w:rPr>
          <w:rFonts w:hint="eastAsia" w:ascii="仿宋" w:hAnsi="仿宋" w:eastAsia="仿宋" w:cs="仿宋"/>
          <w:sz w:val="28"/>
          <w:szCs w:val="28"/>
        </w:rPr>
        <w:t>年）</w:t>
      </w:r>
    </w:p>
    <w:bookmarkEnd w:id="0"/>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ascii="楷体_GB2312" w:hAnsi="Monotype Corsiva" w:eastAsia="楷体_GB2312"/>
          <w:b/>
          <w:color w:val="000000"/>
          <w:sz w:val="32"/>
        </w:rPr>
      </w:pPr>
    </w:p>
    <w:p>
      <w:pPr>
        <w:widowControl/>
        <w:jc w:val="left"/>
        <w:rPr>
          <w:rFonts w:hint="eastAsia" w:ascii="黑体" w:eastAsia="黑体"/>
          <w:sz w:val="24"/>
          <w:szCs w:val="24"/>
        </w:rPr>
      </w:pPr>
    </w:p>
    <w:p>
      <w:pPr>
        <w:widowControl/>
        <w:jc w:val="left"/>
        <w:rPr>
          <w:rFonts w:ascii="楷体_GB2312" w:hAnsi="Monotype Corsiva" w:eastAsia="楷体_GB2312"/>
          <w:b/>
          <w:color w:val="000000"/>
          <w:sz w:val="32"/>
        </w:rPr>
      </w:pPr>
      <w:r>
        <w:rPr>
          <w:rFonts w:hint="eastAsia" w:ascii="黑体" w:eastAsia="黑体"/>
          <w:sz w:val="24"/>
          <w:szCs w:val="24"/>
        </w:rPr>
        <w:t>尊敬的投资者：</w:t>
      </w:r>
    </w:p>
    <w:p>
      <w:pPr>
        <w:ind w:left="-202" w:leftChars="-84" w:firstLine="408" w:firstLineChars="170"/>
        <w:rPr>
          <w:rFonts w:ascii="楷体_GB2312" w:eastAsia="楷体_GB2312"/>
          <w:sz w:val="24"/>
          <w:szCs w:val="24"/>
        </w:rPr>
      </w:pPr>
      <w:r>
        <w:rPr>
          <w:rFonts w:hint="eastAsia" w:ascii="楷体_GB2312" w:eastAsia="楷体_GB2312"/>
          <w:sz w:val="24"/>
          <w:szCs w:val="24"/>
        </w:rPr>
        <w:t>您自愿购买信银理财有限责任公司（以下简称“信银理财”）作为产品管理人的理财产品，双方本着平等自愿、诚实信用的原则，经协商一致，达成协议如下：</w:t>
      </w:r>
    </w:p>
    <w:p>
      <w:pPr>
        <w:ind w:left="-202" w:leftChars="-84" w:firstLine="410" w:firstLineChars="170"/>
        <w:rPr>
          <w:rFonts w:ascii="黑体" w:eastAsia="黑体"/>
          <w:b/>
          <w:sz w:val="24"/>
          <w:szCs w:val="24"/>
        </w:rPr>
      </w:pPr>
      <w:r>
        <w:rPr>
          <w:rFonts w:hint="eastAsia" w:ascii="黑体" w:eastAsia="黑体"/>
          <w:b/>
          <w:sz w:val="24"/>
          <w:szCs w:val="24"/>
        </w:rPr>
        <w:t>一、理财产品风险提示</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投资者基于对信银理财的信任，将其合法拥有的资金，自愿交付给（或</w:t>
      </w:r>
      <w:r>
        <w:rPr>
          <w:rFonts w:ascii="楷体_GB2312" w:hAnsi="宋体" w:eastAsia="楷体_GB2312"/>
          <w:color w:val="000000"/>
          <w:sz w:val="24"/>
          <w:szCs w:val="24"/>
        </w:rPr>
        <w:t>通过代销机构交付给）</w:t>
      </w:r>
      <w:r>
        <w:rPr>
          <w:rFonts w:hint="eastAsia" w:ascii="楷体_GB2312" w:hAnsi="宋体" w:eastAsia="楷体_GB2312"/>
          <w:color w:val="000000"/>
          <w:sz w:val="24"/>
          <w:szCs w:val="24"/>
        </w:rPr>
        <w:t>信银理财，委托信银理财用于投资理财。投资理财产品可能面临政策风险、信用风险、市场风险、利率风险、流动性风险等风险，具体风险由信银理财在产品说明书中揭示。投资者应仔细阅读并充分理解产品说明书等销售文件，以理解理财产品关键条款和面临的主要风险。</w:t>
      </w:r>
    </w:p>
    <w:p>
      <w:pPr>
        <w:ind w:left="-202" w:leftChars="-84" w:firstLine="410" w:firstLineChars="170"/>
        <w:rPr>
          <w:rFonts w:ascii="黑体" w:eastAsia="黑体"/>
          <w:b/>
          <w:sz w:val="24"/>
          <w:szCs w:val="24"/>
        </w:rPr>
      </w:pPr>
      <w:r>
        <w:rPr>
          <w:rFonts w:hint="eastAsia" w:ascii="黑体" w:eastAsia="黑体"/>
          <w:b/>
          <w:sz w:val="24"/>
          <w:szCs w:val="24"/>
        </w:rPr>
        <w:t>二、投资者申明</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投资者具有完全民事行为能力，具备购买理财产品资格，以其本人所合法持有，并有完全处置权的资金购买信银理财理财产品。</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投资者同意，投资者可以通过信银理财合作的代销机构购买理财产品，并按照代销机构销售相关要求进行办理。</w:t>
      </w:r>
    </w:p>
    <w:p>
      <w:pPr>
        <w:ind w:left="-202" w:leftChars="-84" w:firstLine="410" w:firstLineChars="170"/>
        <w:rPr>
          <w:rFonts w:ascii="楷体_GB2312" w:hAnsi="宋体" w:eastAsia="楷体_GB2312"/>
          <w:b/>
          <w:color w:val="000000"/>
          <w:sz w:val="24"/>
          <w:szCs w:val="24"/>
        </w:rPr>
      </w:pPr>
      <w:r>
        <w:rPr>
          <w:rFonts w:hint="eastAsia" w:ascii="楷体_GB2312" w:hAnsi="宋体" w:eastAsia="楷体_GB2312"/>
          <w:b/>
          <w:color w:val="000000"/>
          <w:sz w:val="24"/>
          <w:szCs w:val="24"/>
        </w:rPr>
        <w:t>投资者完全理解并接受本协议、产品说明书等相关文件的约定,投资者确认信银理财或</w:t>
      </w:r>
      <w:r>
        <w:rPr>
          <w:rFonts w:ascii="楷体_GB2312" w:hAnsi="宋体" w:eastAsia="楷体_GB2312"/>
          <w:b/>
          <w:color w:val="000000"/>
          <w:sz w:val="24"/>
          <w:szCs w:val="24"/>
        </w:rPr>
        <w:t>代销机构</w:t>
      </w:r>
      <w:r>
        <w:rPr>
          <w:rFonts w:hint="eastAsia" w:ascii="楷体_GB2312" w:hAnsi="宋体" w:eastAsia="楷体_GB2312"/>
          <w:b/>
          <w:color w:val="000000"/>
          <w:sz w:val="24"/>
          <w:szCs w:val="24"/>
        </w:rPr>
        <w:t>已采取合理方式提请投资者注意本协议、风险揭示书、产品说明书所有免除或限制其责任的条款，并对投资风险予以充分说明。投资者确认理解本产品将涉及的所有风险，充分了解理财业务的运作规则、协议双方的权利、义务及责任，基于独立的判断作出购买决策，并将承担且有能力承担本产品全部风险。</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投资者通过信银理财合作的代销机构认购</w:t>
      </w:r>
      <w:r>
        <w:rPr>
          <w:rFonts w:ascii="楷体_GB2312" w:hAnsi="宋体" w:eastAsia="楷体_GB2312"/>
          <w:color w:val="000000"/>
          <w:sz w:val="24"/>
          <w:szCs w:val="24"/>
        </w:rPr>
        <w:t>理财产品的，</w:t>
      </w:r>
      <w:r>
        <w:rPr>
          <w:rFonts w:hint="eastAsia" w:ascii="楷体_GB2312" w:hAnsi="宋体" w:eastAsia="楷体_GB2312"/>
          <w:color w:val="000000"/>
          <w:sz w:val="24"/>
          <w:szCs w:val="24"/>
        </w:rPr>
        <w:t>同意</w:t>
      </w:r>
      <w:r>
        <w:rPr>
          <w:rFonts w:ascii="楷体_GB2312" w:hAnsi="宋体" w:eastAsia="楷体_GB2312"/>
          <w:color w:val="000000"/>
          <w:sz w:val="24"/>
          <w:szCs w:val="24"/>
        </w:rPr>
        <w:t>以</w:t>
      </w:r>
      <w:r>
        <w:rPr>
          <w:rFonts w:hint="eastAsia" w:ascii="楷体_GB2312" w:hAnsi="宋体" w:eastAsia="楷体_GB2312"/>
          <w:color w:val="000000"/>
          <w:sz w:val="24"/>
          <w:szCs w:val="24"/>
        </w:rPr>
        <w:t>代销机构要求留档</w:t>
      </w:r>
      <w:r>
        <w:rPr>
          <w:rFonts w:ascii="楷体_GB2312" w:hAnsi="宋体" w:eastAsia="楷体_GB2312"/>
          <w:color w:val="000000"/>
          <w:sz w:val="24"/>
          <w:szCs w:val="24"/>
        </w:rPr>
        <w:t>保存</w:t>
      </w:r>
      <w:r>
        <w:rPr>
          <w:rFonts w:hint="eastAsia" w:ascii="楷体_GB2312" w:hAnsi="宋体" w:eastAsia="楷体_GB2312"/>
          <w:color w:val="000000"/>
          <w:sz w:val="24"/>
          <w:szCs w:val="24"/>
        </w:rPr>
        <w:t>的电子</w:t>
      </w:r>
      <w:r>
        <w:rPr>
          <w:rFonts w:ascii="楷体_GB2312" w:hAnsi="宋体" w:eastAsia="楷体_GB2312"/>
          <w:color w:val="000000"/>
          <w:sz w:val="24"/>
          <w:szCs w:val="24"/>
        </w:rPr>
        <w:t>信息交易记录、电话录音等作为双方之间</w:t>
      </w:r>
      <w:r>
        <w:rPr>
          <w:rFonts w:hint="eastAsia" w:ascii="楷体_GB2312" w:hAnsi="宋体" w:eastAsia="楷体_GB2312"/>
          <w:color w:val="000000"/>
          <w:sz w:val="24"/>
          <w:szCs w:val="24"/>
        </w:rPr>
        <w:t>进行相关</w:t>
      </w:r>
      <w:r>
        <w:rPr>
          <w:rFonts w:ascii="楷体_GB2312" w:hAnsi="宋体" w:eastAsia="楷体_GB2312"/>
          <w:color w:val="000000"/>
          <w:sz w:val="24"/>
          <w:szCs w:val="24"/>
        </w:rPr>
        <w:t>交易的</w:t>
      </w:r>
      <w:r>
        <w:rPr>
          <w:rFonts w:hint="eastAsia" w:ascii="楷体_GB2312" w:hAnsi="宋体" w:eastAsia="楷体_GB2312"/>
          <w:color w:val="000000"/>
          <w:sz w:val="24"/>
          <w:szCs w:val="24"/>
        </w:rPr>
        <w:t>证据</w:t>
      </w:r>
      <w:r>
        <w:rPr>
          <w:rFonts w:ascii="楷体_GB2312" w:hAnsi="宋体" w:eastAsia="楷体_GB2312"/>
          <w:color w:val="000000"/>
          <w:sz w:val="24"/>
          <w:szCs w:val="24"/>
        </w:rPr>
        <w:t>。</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投资者应遵守中华人民共和国反洗钱法律法规，不参与涉嫌洗钱、恐怖融资、扩散融资等违法犯罪活动；主动配合信银理财和/或</w:t>
      </w:r>
      <w:r>
        <w:rPr>
          <w:rFonts w:ascii="楷体_GB2312" w:hAnsi="宋体" w:eastAsia="楷体_GB2312"/>
          <w:color w:val="000000"/>
          <w:sz w:val="24"/>
          <w:szCs w:val="24"/>
        </w:rPr>
        <w:t>代销机构进行</w:t>
      </w:r>
      <w:r>
        <w:rPr>
          <w:rFonts w:hint="eastAsia" w:ascii="楷体_GB2312" w:hAnsi="宋体" w:eastAsia="楷体_GB2312"/>
          <w:color w:val="000000"/>
          <w:sz w:val="24"/>
          <w:szCs w:val="24"/>
        </w:rPr>
        <w:t>客户身份识别与尽职调查，提供真实、准确、完整客户资料，遵守信银理财及</w:t>
      </w:r>
      <w:r>
        <w:rPr>
          <w:rFonts w:ascii="楷体_GB2312" w:hAnsi="宋体" w:eastAsia="楷体_GB2312"/>
          <w:color w:val="000000"/>
          <w:sz w:val="24"/>
          <w:szCs w:val="24"/>
        </w:rPr>
        <w:t>代销机构</w:t>
      </w:r>
      <w:r>
        <w:rPr>
          <w:rFonts w:hint="eastAsia" w:ascii="楷体_GB2312" w:hAnsi="宋体" w:eastAsia="楷体_GB2312"/>
          <w:color w:val="000000"/>
          <w:sz w:val="24"/>
          <w:szCs w:val="24"/>
        </w:rPr>
        <w:t>反洗钱与反恐怖融资相关管理规定。对有理由合理怀疑涉嫌洗钱、恐怖融资的客户，信银理财和</w:t>
      </w:r>
      <w:r>
        <w:rPr>
          <w:rFonts w:ascii="楷体_GB2312" w:hAnsi="宋体" w:eastAsia="楷体_GB2312"/>
          <w:color w:val="000000"/>
          <w:sz w:val="24"/>
          <w:szCs w:val="24"/>
        </w:rPr>
        <w:t>代销机构</w:t>
      </w:r>
      <w:r>
        <w:rPr>
          <w:rFonts w:hint="eastAsia" w:ascii="楷体_GB2312" w:hAnsi="宋体" w:eastAsia="楷体_GB2312"/>
          <w:color w:val="000000"/>
          <w:sz w:val="24"/>
          <w:szCs w:val="24"/>
        </w:rPr>
        <w:t>将有权按照中国人民银行反洗钱监管规定采取必要管控措施。</w:t>
      </w:r>
    </w:p>
    <w:p>
      <w:pPr>
        <w:ind w:left="-202" w:leftChars="-84" w:firstLine="410" w:firstLineChars="170"/>
        <w:rPr>
          <w:rFonts w:ascii="黑体" w:eastAsia="黑体"/>
          <w:b/>
          <w:sz w:val="24"/>
          <w:szCs w:val="24"/>
        </w:rPr>
      </w:pPr>
      <w:r>
        <w:rPr>
          <w:rFonts w:hint="eastAsia" w:ascii="黑体" w:eastAsia="黑体"/>
          <w:b/>
          <w:sz w:val="24"/>
          <w:szCs w:val="24"/>
        </w:rPr>
        <w:t>三、双方权利和义务</w:t>
      </w:r>
    </w:p>
    <w:p>
      <w:pPr>
        <w:ind w:left="-202" w:leftChars="-84" w:firstLine="408" w:firstLineChars="170"/>
        <w:rPr>
          <w:rFonts w:ascii="楷体" w:hAnsi="楷体" w:eastAsia="楷体"/>
          <w:sz w:val="24"/>
          <w:szCs w:val="28"/>
        </w:rPr>
      </w:pPr>
      <w:r>
        <w:rPr>
          <w:rFonts w:ascii="楷体_GB2312" w:hAnsi="宋体" w:eastAsia="楷体_GB2312"/>
          <w:color w:val="000000"/>
          <w:sz w:val="24"/>
          <w:szCs w:val="24"/>
        </w:rPr>
        <w:t>1.</w:t>
      </w:r>
      <w:r>
        <w:rPr>
          <w:rFonts w:hint="eastAsia" w:ascii="楷体_GB2312" w:eastAsia="楷体_GB2312"/>
          <w:sz w:val="24"/>
          <w:szCs w:val="28"/>
        </w:rPr>
        <w:t xml:space="preserve"> 投资者在购买</w:t>
      </w:r>
      <w:r>
        <w:rPr>
          <w:rFonts w:ascii="楷体_GB2312" w:eastAsia="楷体_GB2312"/>
          <w:sz w:val="24"/>
          <w:szCs w:val="28"/>
        </w:rPr>
        <w:t>代销机构</w:t>
      </w:r>
      <w:r>
        <w:rPr>
          <w:rFonts w:hint="eastAsia" w:ascii="楷体_GB2312" w:eastAsia="楷体_GB2312"/>
          <w:sz w:val="24"/>
          <w:szCs w:val="28"/>
        </w:rPr>
        <w:t>销售的理财产品前</w:t>
      </w:r>
      <w:r>
        <w:rPr>
          <w:rFonts w:hint="eastAsia" w:ascii="楷体" w:hAnsi="楷体" w:eastAsia="楷体"/>
          <w:sz w:val="24"/>
          <w:szCs w:val="28"/>
        </w:rPr>
        <w:t>，须先在代销机构开立理财账户。</w:t>
      </w:r>
    </w:p>
    <w:p>
      <w:pPr>
        <w:ind w:left="-202" w:leftChars="-84" w:firstLine="408" w:firstLineChars="170"/>
        <w:rPr>
          <w:rFonts w:ascii="楷体" w:hAnsi="楷体" w:eastAsia="楷体"/>
          <w:sz w:val="24"/>
          <w:szCs w:val="28"/>
        </w:rPr>
      </w:pPr>
      <w:r>
        <w:rPr>
          <w:rFonts w:ascii="楷体" w:hAnsi="楷体" w:eastAsia="楷体"/>
          <w:sz w:val="24"/>
          <w:szCs w:val="28"/>
        </w:rPr>
        <w:t>2</w:t>
      </w:r>
      <w:r>
        <w:rPr>
          <w:rFonts w:hint="eastAsia" w:ascii="楷体" w:hAnsi="楷体" w:eastAsia="楷体"/>
          <w:sz w:val="24"/>
          <w:szCs w:val="28"/>
        </w:rPr>
        <w:t>．</w:t>
      </w:r>
      <w:r>
        <w:rPr>
          <w:rFonts w:ascii="楷体" w:hAnsi="楷体" w:eastAsia="楷体"/>
          <w:sz w:val="24"/>
          <w:szCs w:val="28"/>
        </w:rPr>
        <w:t>投资者须</w:t>
      </w:r>
      <w:r>
        <w:rPr>
          <w:rFonts w:hint="eastAsia" w:ascii="楷体" w:hAnsi="楷体" w:eastAsia="楷体"/>
          <w:sz w:val="24"/>
          <w:szCs w:val="28"/>
        </w:rPr>
        <w:t>根据</w:t>
      </w:r>
      <w:r>
        <w:rPr>
          <w:rFonts w:ascii="楷体" w:hAnsi="楷体" w:eastAsia="楷体"/>
          <w:sz w:val="24"/>
          <w:szCs w:val="28"/>
        </w:rPr>
        <w:t>信银理财</w:t>
      </w:r>
      <w:r>
        <w:rPr>
          <w:rFonts w:hint="eastAsia" w:ascii="楷体" w:hAnsi="楷体" w:eastAsia="楷体"/>
          <w:sz w:val="24"/>
          <w:szCs w:val="28"/>
        </w:rPr>
        <w:t>和</w:t>
      </w:r>
      <w:r>
        <w:rPr>
          <w:rFonts w:ascii="楷体" w:hAnsi="楷体" w:eastAsia="楷体"/>
          <w:sz w:val="24"/>
          <w:szCs w:val="28"/>
        </w:rPr>
        <w:t>代销机构要求向</w:t>
      </w:r>
      <w:r>
        <w:rPr>
          <w:rFonts w:hint="eastAsia" w:ascii="楷体" w:hAnsi="楷体" w:eastAsia="楷体"/>
          <w:sz w:val="24"/>
          <w:szCs w:val="28"/>
        </w:rPr>
        <w:t>代销机构和</w:t>
      </w:r>
      <w:r>
        <w:rPr>
          <w:rFonts w:ascii="楷体" w:hAnsi="楷体" w:eastAsia="楷体"/>
          <w:sz w:val="24"/>
          <w:szCs w:val="28"/>
        </w:rPr>
        <w:t>信银理财提供必要</w:t>
      </w:r>
      <w:r>
        <w:rPr>
          <w:rFonts w:hint="eastAsia" w:ascii="楷体" w:hAnsi="楷体" w:eastAsia="楷体"/>
          <w:sz w:val="24"/>
          <w:szCs w:val="28"/>
        </w:rPr>
        <w:t>的</w:t>
      </w:r>
      <w:r>
        <w:rPr>
          <w:rFonts w:ascii="楷体" w:hAnsi="楷体" w:eastAsia="楷体"/>
          <w:sz w:val="24"/>
          <w:szCs w:val="28"/>
        </w:rPr>
        <w:t>个人信息</w:t>
      </w:r>
      <w:r>
        <w:rPr>
          <w:rFonts w:hint="eastAsia" w:ascii="楷体" w:hAnsi="楷体" w:eastAsia="楷体"/>
          <w:sz w:val="24"/>
          <w:szCs w:val="28"/>
        </w:rPr>
        <w:t>，</w:t>
      </w:r>
      <w:r>
        <w:rPr>
          <w:rFonts w:ascii="楷体" w:hAnsi="楷体" w:eastAsia="楷体"/>
          <w:sz w:val="24"/>
          <w:szCs w:val="28"/>
        </w:rPr>
        <w:t>并保证所提供信息真实、准确、完整</w:t>
      </w:r>
      <w:r>
        <w:rPr>
          <w:rFonts w:hint="eastAsia" w:ascii="楷体" w:hAnsi="楷体" w:eastAsia="楷体"/>
          <w:sz w:val="24"/>
          <w:szCs w:val="28"/>
        </w:rPr>
        <w:t>。</w:t>
      </w:r>
      <w:r>
        <w:rPr>
          <w:rFonts w:ascii="楷体" w:hAnsi="楷体" w:eastAsia="楷体"/>
          <w:sz w:val="24"/>
          <w:szCs w:val="28"/>
        </w:rPr>
        <w:t>投资者通过电子渠道</w:t>
      </w:r>
      <w:r>
        <w:rPr>
          <w:rFonts w:hint="eastAsia" w:ascii="楷体" w:hAnsi="楷体" w:eastAsia="楷体"/>
          <w:sz w:val="24"/>
          <w:szCs w:val="28"/>
        </w:rPr>
        <w:t>购买</w:t>
      </w:r>
      <w:r>
        <w:rPr>
          <w:rFonts w:ascii="楷体" w:hAnsi="楷体" w:eastAsia="楷体"/>
          <w:sz w:val="24"/>
          <w:szCs w:val="28"/>
        </w:rPr>
        <w:t>理财产品的，</w:t>
      </w:r>
      <w:r>
        <w:rPr>
          <w:rFonts w:hint="eastAsia" w:ascii="楷体" w:hAnsi="楷体" w:eastAsia="楷体"/>
          <w:sz w:val="24"/>
          <w:szCs w:val="28"/>
        </w:rPr>
        <w:t>应通过</w:t>
      </w:r>
      <w:r>
        <w:rPr>
          <w:rFonts w:ascii="楷体" w:hAnsi="楷体" w:eastAsia="楷体"/>
          <w:sz w:val="24"/>
          <w:szCs w:val="28"/>
        </w:rPr>
        <w:t>电子渠道</w:t>
      </w:r>
      <w:r>
        <w:rPr>
          <w:rFonts w:hint="eastAsia" w:ascii="楷体" w:hAnsi="楷体" w:eastAsia="楷体"/>
          <w:sz w:val="24"/>
          <w:szCs w:val="28"/>
        </w:rPr>
        <w:t>提供</w:t>
      </w:r>
      <w:r>
        <w:rPr>
          <w:rFonts w:ascii="楷体" w:hAnsi="楷体" w:eastAsia="楷体"/>
          <w:sz w:val="24"/>
          <w:szCs w:val="28"/>
        </w:rPr>
        <w:t>以上信息。</w:t>
      </w:r>
      <w:r>
        <w:rPr>
          <w:rFonts w:hint="eastAsia" w:ascii="楷体" w:hAnsi="楷体" w:eastAsia="楷体"/>
          <w:sz w:val="24"/>
          <w:szCs w:val="28"/>
        </w:rPr>
        <w:t>如</w:t>
      </w:r>
      <w:r>
        <w:rPr>
          <w:rFonts w:ascii="楷体" w:hAnsi="楷体" w:eastAsia="楷体"/>
          <w:sz w:val="24"/>
          <w:szCs w:val="28"/>
        </w:rPr>
        <w:t>因投资者</w:t>
      </w:r>
      <w:r>
        <w:rPr>
          <w:rFonts w:hint="eastAsia" w:ascii="楷体" w:hAnsi="楷体" w:eastAsia="楷体"/>
          <w:sz w:val="24"/>
          <w:szCs w:val="28"/>
        </w:rPr>
        <w:t>未</w:t>
      </w:r>
      <w:r>
        <w:rPr>
          <w:rFonts w:ascii="楷体" w:hAnsi="楷体" w:eastAsia="楷体"/>
          <w:sz w:val="24"/>
          <w:szCs w:val="28"/>
        </w:rPr>
        <w:t>按信银理财</w:t>
      </w:r>
      <w:r>
        <w:rPr>
          <w:rFonts w:hint="eastAsia" w:ascii="楷体" w:hAnsi="楷体" w:eastAsia="楷体"/>
          <w:sz w:val="24"/>
          <w:szCs w:val="28"/>
        </w:rPr>
        <w:t>和/或</w:t>
      </w:r>
      <w:r>
        <w:rPr>
          <w:rFonts w:ascii="楷体" w:hAnsi="楷体" w:eastAsia="楷体"/>
          <w:sz w:val="24"/>
          <w:szCs w:val="28"/>
        </w:rPr>
        <w:t>代销机构规定提供信息，或提供的信息不真实、不准确、不完整，导致投资者无法成功</w:t>
      </w:r>
      <w:r>
        <w:rPr>
          <w:rFonts w:hint="eastAsia" w:ascii="楷体" w:hAnsi="楷体" w:eastAsia="楷体"/>
          <w:sz w:val="24"/>
          <w:szCs w:val="28"/>
        </w:rPr>
        <w:t>购买</w:t>
      </w:r>
      <w:r>
        <w:rPr>
          <w:rFonts w:ascii="楷体" w:hAnsi="楷体" w:eastAsia="楷体"/>
          <w:sz w:val="24"/>
          <w:szCs w:val="28"/>
        </w:rPr>
        <w:t>理财产品</w:t>
      </w:r>
      <w:r>
        <w:rPr>
          <w:rFonts w:hint="eastAsia" w:ascii="楷体" w:hAnsi="楷体" w:eastAsia="楷体"/>
          <w:sz w:val="24"/>
          <w:szCs w:val="28"/>
        </w:rPr>
        <w:t>、</w:t>
      </w:r>
      <w:r>
        <w:rPr>
          <w:rFonts w:ascii="楷体" w:hAnsi="楷体" w:eastAsia="楷体"/>
          <w:sz w:val="24"/>
          <w:szCs w:val="28"/>
        </w:rPr>
        <w:t>获得分配资金</w:t>
      </w:r>
      <w:r>
        <w:rPr>
          <w:rFonts w:hint="eastAsia" w:ascii="楷体" w:hAnsi="楷体" w:eastAsia="楷体"/>
          <w:sz w:val="24"/>
          <w:szCs w:val="28"/>
        </w:rPr>
        <w:t>或</w:t>
      </w:r>
      <w:r>
        <w:rPr>
          <w:rFonts w:ascii="楷体" w:hAnsi="楷体" w:eastAsia="楷体"/>
          <w:sz w:val="24"/>
          <w:szCs w:val="28"/>
        </w:rPr>
        <w:t>其他后果</w:t>
      </w:r>
      <w:r>
        <w:rPr>
          <w:rFonts w:hint="eastAsia" w:ascii="楷体" w:hAnsi="楷体" w:eastAsia="楷体"/>
          <w:sz w:val="24"/>
          <w:szCs w:val="28"/>
        </w:rPr>
        <w:t>和</w:t>
      </w:r>
      <w:r>
        <w:rPr>
          <w:rFonts w:ascii="楷体" w:hAnsi="楷体" w:eastAsia="楷体"/>
          <w:sz w:val="24"/>
          <w:szCs w:val="28"/>
        </w:rPr>
        <w:t>损失的，信银理财</w:t>
      </w:r>
      <w:r>
        <w:rPr>
          <w:rFonts w:hint="eastAsia" w:ascii="楷体" w:hAnsi="楷体" w:eastAsia="楷体"/>
          <w:sz w:val="24"/>
          <w:szCs w:val="28"/>
        </w:rPr>
        <w:t>及</w:t>
      </w:r>
      <w:r>
        <w:rPr>
          <w:rFonts w:ascii="楷体" w:hAnsi="楷体" w:eastAsia="楷体"/>
          <w:sz w:val="24"/>
          <w:szCs w:val="28"/>
        </w:rPr>
        <w:t>代销机构不承担责任</w:t>
      </w:r>
      <w:r>
        <w:rPr>
          <w:rFonts w:hint="eastAsia" w:ascii="楷体" w:hAnsi="楷体" w:eastAsia="楷体"/>
          <w:sz w:val="24"/>
          <w:szCs w:val="28"/>
        </w:rPr>
        <w:t>，</w:t>
      </w:r>
      <w:r>
        <w:rPr>
          <w:rFonts w:ascii="楷体" w:hAnsi="楷体" w:eastAsia="楷体"/>
          <w:sz w:val="24"/>
          <w:szCs w:val="28"/>
        </w:rPr>
        <w:t>投资者</w:t>
      </w:r>
      <w:r>
        <w:rPr>
          <w:rFonts w:hint="eastAsia" w:ascii="楷体" w:hAnsi="楷体" w:eastAsia="楷体"/>
          <w:sz w:val="24"/>
          <w:szCs w:val="28"/>
        </w:rPr>
        <w:t>依法</w:t>
      </w:r>
      <w:r>
        <w:rPr>
          <w:rFonts w:ascii="楷体" w:hAnsi="楷体" w:eastAsia="楷体"/>
          <w:sz w:val="24"/>
          <w:szCs w:val="28"/>
        </w:rPr>
        <w:t>承担法律责任。</w:t>
      </w:r>
    </w:p>
    <w:p>
      <w:pPr>
        <w:ind w:left="-202" w:leftChars="-84" w:firstLine="408" w:firstLineChars="170"/>
        <w:rPr>
          <w:rFonts w:ascii="楷体" w:hAnsi="楷体" w:eastAsia="楷体"/>
          <w:sz w:val="24"/>
          <w:szCs w:val="28"/>
        </w:rPr>
      </w:pPr>
      <w:r>
        <w:rPr>
          <w:rFonts w:ascii="楷体" w:hAnsi="楷体" w:eastAsia="楷体"/>
          <w:sz w:val="24"/>
          <w:szCs w:val="28"/>
        </w:rPr>
        <w:t>3</w:t>
      </w:r>
      <w:r>
        <w:rPr>
          <w:rFonts w:hint="eastAsia" w:ascii="楷体" w:hAnsi="楷体" w:eastAsia="楷体"/>
          <w:sz w:val="24"/>
          <w:szCs w:val="28"/>
        </w:rPr>
        <w:t>．投资者所</w:t>
      </w:r>
      <w:r>
        <w:rPr>
          <w:rFonts w:ascii="楷体" w:hAnsi="楷体" w:eastAsia="楷体"/>
          <w:sz w:val="24"/>
          <w:szCs w:val="28"/>
        </w:rPr>
        <w:t>提供信息如发生变更，应及时</w:t>
      </w:r>
      <w:r>
        <w:rPr>
          <w:rFonts w:hint="eastAsia" w:ascii="楷体" w:hAnsi="楷体" w:eastAsia="楷体"/>
          <w:sz w:val="24"/>
          <w:szCs w:val="28"/>
        </w:rPr>
        <w:t>通过代销机构</w:t>
      </w:r>
      <w:r>
        <w:rPr>
          <w:rFonts w:ascii="楷体" w:hAnsi="楷体" w:eastAsia="楷体"/>
          <w:sz w:val="24"/>
          <w:szCs w:val="28"/>
        </w:rPr>
        <w:t>办理信息变更</w:t>
      </w:r>
      <w:r>
        <w:rPr>
          <w:rFonts w:hint="eastAsia" w:ascii="楷体" w:hAnsi="楷体" w:eastAsia="楷体"/>
          <w:sz w:val="24"/>
          <w:szCs w:val="28"/>
        </w:rPr>
        <w:t>确认</w:t>
      </w:r>
      <w:r>
        <w:rPr>
          <w:rFonts w:ascii="楷体" w:hAnsi="楷体" w:eastAsia="楷体"/>
          <w:sz w:val="24"/>
          <w:szCs w:val="28"/>
        </w:rPr>
        <w:t>手续。</w:t>
      </w:r>
      <w:r>
        <w:rPr>
          <w:rFonts w:hint="eastAsia" w:ascii="楷体_GB2312" w:eastAsia="楷体_GB2312"/>
          <w:sz w:val="24"/>
          <w:szCs w:val="28"/>
        </w:rPr>
        <w:t>投资者</w:t>
      </w:r>
      <w:r>
        <w:rPr>
          <w:rFonts w:hint="eastAsia" w:ascii="楷体_GB2312" w:hAnsi="楷体" w:eastAsia="楷体_GB2312"/>
          <w:sz w:val="24"/>
          <w:szCs w:val="28"/>
        </w:rPr>
        <w:t>在申请变更姓名</w:t>
      </w:r>
      <w:r>
        <w:rPr>
          <w:rFonts w:hint="eastAsia" w:ascii="楷体" w:hAnsi="楷体" w:eastAsia="楷体"/>
          <w:sz w:val="24"/>
          <w:szCs w:val="28"/>
        </w:rPr>
        <w:t>、证件类型或证件编号等关键信息时，需按</w:t>
      </w:r>
      <w:r>
        <w:rPr>
          <w:rFonts w:ascii="楷体" w:hAnsi="楷体" w:eastAsia="楷体"/>
          <w:sz w:val="24"/>
          <w:szCs w:val="28"/>
        </w:rPr>
        <w:t>要求</w:t>
      </w:r>
      <w:r>
        <w:rPr>
          <w:rFonts w:hint="eastAsia" w:ascii="楷体" w:hAnsi="楷体" w:eastAsia="楷体"/>
          <w:sz w:val="24"/>
          <w:szCs w:val="28"/>
        </w:rPr>
        <w:t>提供足够齐备的公安机关或相关注册登记机构的变更证明文件。投资者所提供信息发生变更的，</w:t>
      </w:r>
      <w:r>
        <w:rPr>
          <w:rFonts w:hint="eastAsia" w:ascii="楷体_GB2312" w:eastAsia="楷体_GB2312"/>
          <w:sz w:val="24"/>
          <w:szCs w:val="28"/>
        </w:rPr>
        <w:t>至迟应在所投资理财产品期限届满的1</w:t>
      </w:r>
      <w:r>
        <w:rPr>
          <w:rFonts w:ascii="楷体_GB2312" w:eastAsia="楷体_GB2312"/>
          <w:sz w:val="24"/>
          <w:szCs w:val="28"/>
        </w:rPr>
        <w:t>5</w:t>
      </w:r>
      <w:r>
        <w:rPr>
          <w:rFonts w:hint="eastAsia" w:ascii="楷体_GB2312" w:eastAsia="楷体_GB2312"/>
          <w:sz w:val="24"/>
          <w:szCs w:val="28"/>
        </w:rPr>
        <w:t>个工作日前至代销</w:t>
      </w:r>
      <w:r>
        <w:rPr>
          <w:rFonts w:ascii="楷体_GB2312" w:eastAsia="楷体_GB2312"/>
          <w:sz w:val="24"/>
          <w:szCs w:val="28"/>
        </w:rPr>
        <w:t>机构</w:t>
      </w:r>
      <w:r>
        <w:rPr>
          <w:rFonts w:hint="eastAsia" w:ascii="楷体_GB2312" w:eastAsia="楷体_GB2312"/>
          <w:sz w:val="24"/>
          <w:szCs w:val="28"/>
        </w:rPr>
        <w:t>办理变更确认手续（电子渠道或营业场所），否则，因投资者信息未及时更新导致的后果（如分配资金无法及时到账等），信银理财不承担任何责任。信息变更于投资者办理变更确认手续之日生效。</w:t>
      </w:r>
    </w:p>
    <w:p>
      <w:pPr>
        <w:ind w:left="-202" w:leftChars="-84" w:firstLine="408" w:firstLineChars="170"/>
        <w:rPr>
          <w:rFonts w:ascii="楷体" w:hAnsi="楷体" w:eastAsia="楷体"/>
          <w:sz w:val="24"/>
          <w:szCs w:val="28"/>
        </w:rPr>
      </w:pPr>
      <w:r>
        <w:rPr>
          <w:rFonts w:ascii="楷体" w:hAnsi="楷体" w:eastAsia="楷体"/>
          <w:sz w:val="24"/>
          <w:szCs w:val="28"/>
        </w:rPr>
        <w:t>4.</w:t>
      </w:r>
      <w:r>
        <w:rPr>
          <w:rFonts w:hint="eastAsia" w:ascii="楷体" w:hAnsi="楷体" w:eastAsia="楷体"/>
          <w:sz w:val="24"/>
          <w:szCs w:val="28"/>
        </w:rPr>
        <w:t>投资者申请销户时，应</w:t>
      </w:r>
      <w:r>
        <w:rPr>
          <w:rFonts w:ascii="楷体" w:hAnsi="楷体" w:eastAsia="楷体"/>
          <w:sz w:val="24"/>
          <w:szCs w:val="28"/>
        </w:rPr>
        <w:t>确保</w:t>
      </w:r>
      <w:r>
        <w:rPr>
          <w:rFonts w:hint="eastAsia" w:ascii="楷体" w:hAnsi="楷体" w:eastAsia="楷体"/>
          <w:sz w:val="24"/>
          <w:szCs w:val="28"/>
        </w:rPr>
        <w:t>理财账户内已无理财份额、未完成交易及相关权益，</w:t>
      </w:r>
      <w:r>
        <w:rPr>
          <w:rFonts w:ascii="楷体" w:hAnsi="楷体" w:eastAsia="楷体"/>
          <w:sz w:val="24"/>
          <w:szCs w:val="28"/>
        </w:rPr>
        <w:t>否则信银理财有权</w:t>
      </w:r>
      <w:r>
        <w:rPr>
          <w:rFonts w:hint="eastAsia" w:ascii="楷体" w:hAnsi="楷体" w:eastAsia="楷体"/>
          <w:sz w:val="24"/>
          <w:szCs w:val="28"/>
        </w:rPr>
        <w:t>拒绝</w:t>
      </w:r>
      <w:r>
        <w:rPr>
          <w:rFonts w:ascii="楷体" w:hAnsi="楷体" w:eastAsia="楷体"/>
          <w:sz w:val="24"/>
          <w:szCs w:val="28"/>
        </w:rPr>
        <w:t>办理</w:t>
      </w:r>
      <w:r>
        <w:rPr>
          <w:rFonts w:hint="eastAsia" w:ascii="楷体" w:hAnsi="楷体" w:eastAsia="楷体"/>
          <w:sz w:val="24"/>
          <w:szCs w:val="28"/>
        </w:rPr>
        <w:t>。</w:t>
      </w:r>
    </w:p>
    <w:p>
      <w:pPr>
        <w:ind w:left="-202" w:leftChars="-84" w:firstLine="408" w:firstLineChars="170"/>
        <w:rPr>
          <w:rFonts w:ascii="楷体" w:hAnsi="楷体" w:eastAsia="楷体"/>
          <w:sz w:val="24"/>
          <w:szCs w:val="28"/>
        </w:rPr>
      </w:pPr>
      <w:r>
        <w:rPr>
          <w:rFonts w:ascii="楷体" w:hAnsi="楷体" w:eastAsia="楷体"/>
          <w:sz w:val="24"/>
          <w:szCs w:val="28"/>
        </w:rPr>
        <w:t>5.</w:t>
      </w:r>
      <w:r>
        <w:rPr>
          <w:rFonts w:hint="eastAsia" w:ascii="楷体" w:hAnsi="楷体" w:eastAsia="楷体"/>
          <w:sz w:val="24"/>
          <w:szCs w:val="28"/>
        </w:rPr>
        <w:t>投资者购买</w:t>
      </w:r>
      <w:r>
        <w:rPr>
          <w:rFonts w:ascii="楷体" w:hAnsi="楷体" w:eastAsia="楷体"/>
          <w:sz w:val="24"/>
          <w:szCs w:val="28"/>
        </w:rPr>
        <w:t>理财产品时</w:t>
      </w:r>
      <w:r>
        <w:rPr>
          <w:rFonts w:hint="eastAsia" w:ascii="楷体" w:hAnsi="楷体" w:eastAsia="楷体"/>
          <w:sz w:val="24"/>
          <w:szCs w:val="28"/>
        </w:rPr>
        <w:t>，</w:t>
      </w:r>
      <w:r>
        <w:rPr>
          <w:rFonts w:ascii="楷体" w:hAnsi="楷体" w:eastAsia="楷体"/>
          <w:sz w:val="24"/>
          <w:szCs w:val="28"/>
        </w:rPr>
        <w:t>应在</w:t>
      </w:r>
      <w:r>
        <w:rPr>
          <w:rFonts w:hint="eastAsia" w:ascii="楷体" w:hAnsi="楷体" w:eastAsia="楷体"/>
          <w:sz w:val="24"/>
          <w:szCs w:val="28"/>
        </w:rPr>
        <w:t>交易日</w:t>
      </w:r>
      <w:r>
        <w:rPr>
          <w:rFonts w:ascii="楷体" w:hAnsi="楷体" w:eastAsia="楷体"/>
          <w:sz w:val="24"/>
          <w:szCs w:val="28"/>
        </w:rPr>
        <w:t>交易时间内</w:t>
      </w:r>
      <w:r>
        <w:rPr>
          <w:rFonts w:hint="eastAsia" w:ascii="楷体" w:hAnsi="楷体" w:eastAsia="楷体"/>
          <w:sz w:val="24"/>
          <w:szCs w:val="28"/>
        </w:rPr>
        <w:t>提交购买申请</w:t>
      </w:r>
      <w:r>
        <w:rPr>
          <w:rFonts w:ascii="楷体" w:hAnsi="楷体" w:eastAsia="楷体"/>
          <w:sz w:val="24"/>
          <w:szCs w:val="28"/>
        </w:rPr>
        <w:t>，</w:t>
      </w:r>
      <w:r>
        <w:rPr>
          <w:rFonts w:hint="eastAsia" w:ascii="楷体" w:hAnsi="楷体" w:eastAsia="楷体"/>
          <w:sz w:val="24"/>
          <w:szCs w:val="28"/>
        </w:rPr>
        <w:t>代销机构</w:t>
      </w:r>
      <w:r>
        <w:rPr>
          <w:rFonts w:ascii="楷体" w:hAnsi="楷体" w:eastAsia="楷体"/>
          <w:sz w:val="24"/>
          <w:szCs w:val="28"/>
        </w:rPr>
        <w:t>将</w:t>
      </w:r>
      <w:r>
        <w:rPr>
          <w:rFonts w:hint="eastAsia" w:ascii="楷体" w:hAnsi="楷体" w:eastAsia="楷体"/>
          <w:sz w:val="24"/>
          <w:szCs w:val="28"/>
        </w:rPr>
        <w:t>投资者</w:t>
      </w:r>
      <w:r>
        <w:rPr>
          <w:rFonts w:ascii="楷体" w:hAnsi="楷体" w:eastAsia="楷体"/>
          <w:sz w:val="24"/>
          <w:szCs w:val="28"/>
        </w:rPr>
        <w:t>认购/申购资金在指定的时间前</w:t>
      </w:r>
      <w:r>
        <w:rPr>
          <w:rFonts w:hint="eastAsia" w:ascii="楷体" w:hAnsi="楷体" w:eastAsia="楷体"/>
          <w:sz w:val="24"/>
          <w:szCs w:val="28"/>
        </w:rPr>
        <w:t>足额划入</w:t>
      </w:r>
      <w:r>
        <w:rPr>
          <w:rFonts w:ascii="楷体" w:hAnsi="楷体" w:eastAsia="楷体"/>
          <w:sz w:val="24"/>
          <w:szCs w:val="28"/>
        </w:rPr>
        <w:t>信银理财指定银行账户，否则</w:t>
      </w:r>
      <w:r>
        <w:rPr>
          <w:rFonts w:hint="eastAsia" w:ascii="楷体" w:hAnsi="楷体" w:eastAsia="楷体"/>
          <w:sz w:val="24"/>
          <w:szCs w:val="28"/>
        </w:rPr>
        <w:t>不</w:t>
      </w:r>
      <w:r>
        <w:rPr>
          <w:rFonts w:ascii="楷体" w:hAnsi="楷体" w:eastAsia="楷体"/>
          <w:sz w:val="24"/>
          <w:szCs w:val="28"/>
        </w:rPr>
        <w:t>视为</w:t>
      </w:r>
      <w:r>
        <w:rPr>
          <w:rFonts w:hint="eastAsia" w:ascii="楷体" w:hAnsi="楷体" w:eastAsia="楷体"/>
          <w:sz w:val="24"/>
          <w:szCs w:val="28"/>
        </w:rPr>
        <w:t>当日</w:t>
      </w:r>
      <w:r>
        <w:rPr>
          <w:rFonts w:ascii="楷体" w:hAnsi="楷体" w:eastAsia="楷体"/>
          <w:sz w:val="24"/>
          <w:szCs w:val="28"/>
        </w:rPr>
        <w:t>有效申请。</w:t>
      </w:r>
      <w:r>
        <w:rPr>
          <w:rFonts w:hint="eastAsia" w:ascii="楷体" w:hAnsi="楷体" w:eastAsia="楷体"/>
          <w:sz w:val="24"/>
          <w:szCs w:val="28"/>
        </w:rPr>
        <w:t>交易</w:t>
      </w:r>
      <w:r>
        <w:rPr>
          <w:rFonts w:ascii="楷体" w:hAnsi="楷体" w:eastAsia="楷体"/>
          <w:sz w:val="24"/>
          <w:szCs w:val="28"/>
        </w:rPr>
        <w:t>时间以理财产品说明书约定</w:t>
      </w:r>
      <w:r>
        <w:rPr>
          <w:rFonts w:hint="eastAsia" w:ascii="楷体" w:hAnsi="楷体" w:eastAsia="楷体"/>
          <w:sz w:val="24"/>
          <w:szCs w:val="28"/>
        </w:rPr>
        <w:t>和</w:t>
      </w:r>
      <w:r>
        <w:rPr>
          <w:rFonts w:ascii="楷体" w:hAnsi="楷体" w:eastAsia="楷体"/>
          <w:sz w:val="24"/>
          <w:szCs w:val="28"/>
        </w:rPr>
        <w:t>代销机构要求为准。</w:t>
      </w:r>
      <w:r>
        <w:rPr>
          <w:rFonts w:hint="eastAsia" w:ascii="楷体" w:hAnsi="楷体" w:eastAsia="楷体"/>
          <w:sz w:val="24"/>
          <w:szCs w:val="28"/>
        </w:rPr>
        <w:t>如代销机构汇划</w:t>
      </w:r>
      <w:r>
        <w:rPr>
          <w:rFonts w:ascii="楷体" w:hAnsi="楷体" w:eastAsia="楷体"/>
          <w:sz w:val="24"/>
          <w:szCs w:val="28"/>
        </w:rPr>
        <w:t>资金</w:t>
      </w:r>
      <w:r>
        <w:rPr>
          <w:rFonts w:hint="eastAsia" w:ascii="楷体" w:hAnsi="楷体" w:eastAsia="楷体"/>
          <w:sz w:val="24"/>
          <w:szCs w:val="28"/>
        </w:rPr>
        <w:t>不足</w:t>
      </w:r>
      <w:r>
        <w:rPr>
          <w:rFonts w:ascii="楷体" w:hAnsi="楷体" w:eastAsia="楷体"/>
          <w:sz w:val="24"/>
          <w:szCs w:val="28"/>
        </w:rPr>
        <w:t>或迟于</w:t>
      </w:r>
      <w:r>
        <w:rPr>
          <w:rFonts w:hint="eastAsia" w:ascii="楷体" w:hAnsi="楷体" w:eastAsia="楷体"/>
          <w:sz w:val="24"/>
          <w:szCs w:val="28"/>
        </w:rPr>
        <w:t>上述</w:t>
      </w:r>
      <w:r>
        <w:rPr>
          <w:rFonts w:ascii="楷体" w:hAnsi="楷体" w:eastAsia="楷体"/>
          <w:sz w:val="24"/>
          <w:szCs w:val="28"/>
        </w:rPr>
        <w:t>规定时间到达</w:t>
      </w:r>
      <w:r>
        <w:rPr>
          <w:rFonts w:hint="eastAsia" w:ascii="楷体" w:hAnsi="楷体" w:eastAsia="楷体"/>
          <w:sz w:val="24"/>
          <w:szCs w:val="28"/>
        </w:rPr>
        <w:t>信银理财</w:t>
      </w:r>
      <w:r>
        <w:rPr>
          <w:rFonts w:ascii="楷体" w:hAnsi="楷体" w:eastAsia="楷体"/>
          <w:sz w:val="24"/>
          <w:szCs w:val="28"/>
        </w:rPr>
        <w:t>指定银行账户</w:t>
      </w:r>
      <w:r>
        <w:rPr>
          <w:rFonts w:hint="eastAsia" w:ascii="楷体" w:hAnsi="楷体" w:eastAsia="楷体"/>
          <w:sz w:val="24"/>
          <w:szCs w:val="28"/>
        </w:rPr>
        <w:t>的</w:t>
      </w:r>
      <w:r>
        <w:rPr>
          <w:rFonts w:ascii="楷体" w:hAnsi="楷体" w:eastAsia="楷体"/>
          <w:sz w:val="24"/>
          <w:szCs w:val="28"/>
        </w:rPr>
        <w:t>，信银理财不承担任何责任</w:t>
      </w:r>
      <w:r>
        <w:rPr>
          <w:rFonts w:hint="eastAsia" w:ascii="楷体" w:hAnsi="楷体" w:eastAsia="楷体"/>
          <w:sz w:val="24"/>
          <w:szCs w:val="28"/>
        </w:rPr>
        <w:t>。</w:t>
      </w:r>
      <w:r>
        <w:rPr>
          <w:rFonts w:hint="eastAsia" w:ascii="楷体_GB2312" w:eastAsia="楷体_GB2312"/>
          <w:sz w:val="24"/>
          <w:szCs w:val="28"/>
        </w:rPr>
        <w:t>投资者应就前述情况给信银理财造成的损失承担责任。代销</w:t>
      </w:r>
      <w:r>
        <w:rPr>
          <w:rFonts w:ascii="楷体_GB2312" w:eastAsia="楷体_GB2312"/>
          <w:sz w:val="24"/>
          <w:szCs w:val="28"/>
        </w:rPr>
        <w:t>机构有过错的，应</w:t>
      </w:r>
      <w:r>
        <w:rPr>
          <w:rFonts w:hint="eastAsia" w:ascii="楷体_GB2312" w:eastAsia="楷体_GB2312"/>
          <w:sz w:val="24"/>
          <w:szCs w:val="28"/>
        </w:rPr>
        <w:t>相应</w:t>
      </w:r>
      <w:r>
        <w:rPr>
          <w:rFonts w:ascii="楷体_GB2312" w:eastAsia="楷体_GB2312"/>
          <w:sz w:val="24"/>
          <w:szCs w:val="28"/>
        </w:rPr>
        <w:t>承担责任。</w:t>
      </w:r>
    </w:p>
    <w:p>
      <w:pPr>
        <w:ind w:left="-202" w:leftChars="-84" w:firstLine="408" w:firstLineChars="170"/>
        <w:rPr>
          <w:rFonts w:ascii="楷体" w:hAnsi="楷体" w:eastAsia="楷体"/>
          <w:sz w:val="24"/>
          <w:szCs w:val="28"/>
        </w:rPr>
      </w:pPr>
      <w:r>
        <w:rPr>
          <w:rFonts w:ascii="楷体" w:hAnsi="楷体" w:eastAsia="楷体"/>
          <w:sz w:val="24"/>
          <w:szCs w:val="28"/>
        </w:rPr>
        <w:t>6.</w:t>
      </w:r>
      <w:r>
        <w:rPr>
          <w:rFonts w:hint="eastAsia" w:ascii="楷体" w:hAnsi="楷体" w:eastAsia="楷体"/>
          <w:sz w:val="24"/>
          <w:szCs w:val="28"/>
        </w:rPr>
        <w:t>投资者通过代销机构</w:t>
      </w:r>
      <w:r>
        <w:rPr>
          <w:rFonts w:ascii="楷体" w:hAnsi="楷体" w:eastAsia="楷体"/>
          <w:sz w:val="24"/>
          <w:szCs w:val="28"/>
        </w:rPr>
        <w:t>购买时</w:t>
      </w:r>
      <w:r>
        <w:rPr>
          <w:rFonts w:hint="eastAsia" w:ascii="楷体" w:hAnsi="楷体" w:eastAsia="楷体"/>
          <w:sz w:val="24"/>
          <w:szCs w:val="28"/>
        </w:rPr>
        <w:t>进行</w:t>
      </w:r>
      <w:r>
        <w:rPr>
          <w:rFonts w:ascii="楷体" w:hAnsi="楷体" w:eastAsia="楷体"/>
          <w:sz w:val="24"/>
          <w:szCs w:val="28"/>
        </w:rPr>
        <w:t>交易的银行账户为</w:t>
      </w:r>
      <w:r>
        <w:rPr>
          <w:rFonts w:hint="eastAsia" w:ascii="楷体" w:hAnsi="楷体" w:eastAsia="楷体"/>
          <w:sz w:val="24"/>
          <w:szCs w:val="28"/>
        </w:rPr>
        <w:t>其</w:t>
      </w:r>
      <w:r>
        <w:rPr>
          <w:rFonts w:ascii="楷体" w:hAnsi="楷体" w:eastAsia="楷体"/>
          <w:sz w:val="24"/>
          <w:szCs w:val="28"/>
        </w:rPr>
        <w:t>指定</w:t>
      </w:r>
      <w:r>
        <w:rPr>
          <w:rFonts w:hint="eastAsia" w:ascii="楷体" w:hAnsi="楷体" w:eastAsia="楷体"/>
          <w:sz w:val="24"/>
          <w:szCs w:val="28"/>
        </w:rPr>
        <w:t>资金</w:t>
      </w:r>
      <w:r>
        <w:rPr>
          <w:rFonts w:ascii="楷体" w:hAnsi="楷体" w:eastAsia="楷体"/>
          <w:sz w:val="24"/>
          <w:szCs w:val="28"/>
        </w:rPr>
        <w:t>回款账户。</w:t>
      </w:r>
      <w:r>
        <w:rPr>
          <w:rFonts w:hint="eastAsia" w:ascii="楷体" w:hAnsi="楷体" w:eastAsia="楷体"/>
          <w:sz w:val="24"/>
          <w:szCs w:val="28"/>
        </w:rPr>
        <w:t>产品</w:t>
      </w:r>
      <w:r>
        <w:rPr>
          <w:rFonts w:ascii="楷体" w:hAnsi="楷体" w:eastAsia="楷体"/>
          <w:sz w:val="24"/>
          <w:szCs w:val="28"/>
        </w:rPr>
        <w:t>不成立、交易失败</w:t>
      </w:r>
      <w:r>
        <w:rPr>
          <w:rFonts w:hint="eastAsia" w:ascii="楷体" w:hAnsi="楷体" w:eastAsia="楷体"/>
          <w:sz w:val="24"/>
          <w:szCs w:val="28"/>
        </w:rPr>
        <w:t>、部分</w:t>
      </w:r>
      <w:r>
        <w:rPr>
          <w:rFonts w:ascii="楷体" w:hAnsi="楷体" w:eastAsia="楷体"/>
          <w:sz w:val="24"/>
          <w:szCs w:val="28"/>
        </w:rPr>
        <w:t>交易成功、投资者撤单时</w:t>
      </w:r>
      <w:r>
        <w:rPr>
          <w:rFonts w:hint="eastAsia" w:ascii="楷体" w:hAnsi="楷体" w:eastAsia="楷体"/>
          <w:sz w:val="24"/>
          <w:szCs w:val="28"/>
        </w:rPr>
        <w:t>信银理财通过</w:t>
      </w:r>
      <w:r>
        <w:rPr>
          <w:rFonts w:ascii="楷体" w:hAnsi="楷体" w:eastAsia="楷体"/>
          <w:sz w:val="24"/>
          <w:szCs w:val="28"/>
        </w:rPr>
        <w:t>代销机构向</w:t>
      </w:r>
      <w:r>
        <w:rPr>
          <w:rFonts w:hint="eastAsia" w:ascii="楷体" w:hAnsi="楷体" w:eastAsia="楷体"/>
          <w:sz w:val="24"/>
          <w:szCs w:val="28"/>
        </w:rPr>
        <w:t>投资者</w:t>
      </w:r>
      <w:r>
        <w:rPr>
          <w:rFonts w:ascii="楷体" w:hAnsi="楷体" w:eastAsia="楷体"/>
          <w:sz w:val="24"/>
          <w:szCs w:val="28"/>
        </w:rPr>
        <w:t>退还</w:t>
      </w:r>
      <w:r>
        <w:rPr>
          <w:rFonts w:hint="eastAsia" w:ascii="楷体" w:hAnsi="楷体" w:eastAsia="楷体"/>
          <w:sz w:val="24"/>
          <w:szCs w:val="28"/>
        </w:rPr>
        <w:t>的</w:t>
      </w:r>
      <w:r>
        <w:rPr>
          <w:rFonts w:ascii="楷体" w:hAnsi="楷体" w:eastAsia="楷体"/>
          <w:sz w:val="24"/>
          <w:szCs w:val="28"/>
        </w:rPr>
        <w:t>款项以及理财产品</w:t>
      </w:r>
      <w:r>
        <w:rPr>
          <w:rFonts w:hint="eastAsia" w:ascii="楷体" w:hAnsi="楷体" w:eastAsia="楷体"/>
          <w:sz w:val="24"/>
          <w:szCs w:val="28"/>
        </w:rPr>
        <w:t>赎回</w:t>
      </w:r>
      <w:r>
        <w:rPr>
          <w:rFonts w:ascii="楷体" w:hAnsi="楷体" w:eastAsia="楷体"/>
          <w:sz w:val="24"/>
          <w:szCs w:val="28"/>
        </w:rPr>
        <w:t>、</w:t>
      </w:r>
      <w:r>
        <w:rPr>
          <w:rFonts w:hint="eastAsia" w:ascii="楷体" w:hAnsi="楷体" w:eastAsia="楷体"/>
          <w:sz w:val="24"/>
          <w:szCs w:val="28"/>
        </w:rPr>
        <w:t>分红、清盘等资金</w:t>
      </w:r>
      <w:r>
        <w:rPr>
          <w:rFonts w:ascii="楷体" w:hAnsi="楷体" w:eastAsia="楷体"/>
          <w:sz w:val="24"/>
          <w:szCs w:val="28"/>
        </w:rPr>
        <w:t>将汇划至该账户。</w:t>
      </w:r>
    </w:p>
    <w:p>
      <w:pPr>
        <w:ind w:left="-202" w:leftChars="-84" w:firstLine="408" w:firstLineChars="170"/>
        <w:rPr>
          <w:rFonts w:ascii="楷体_GB2312" w:hAnsi="宋体" w:eastAsia="楷体_GB2312"/>
          <w:color w:val="000000"/>
          <w:sz w:val="24"/>
          <w:szCs w:val="24"/>
        </w:rPr>
      </w:pPr>
      <w:r>
        <w:rPr>
          <w:rFonts w:ascii="楷体_GB2312" w:hAnsi="宋体" w:eastAsia="楷体_GB2312"/>
          <w:color w:val="000000"/>
          <w:sz w:val="24"/>
          <w:szCs w:val="24"/>
        </w:rPr>
        <w:t>7</w:t>
      </w:r>
      <w:r>
        <w:rPr>
          <w:rFonts w:hint="eastAsia" w:ascii="楷体_GB2312" w:hAnsi="宋体" w:eastAsia="楷体_GB2312"/>
          <w:color w:val="000000"/>
          <w:sz w:val="24"/>
          <w:szCs w:val="24"/>
        </w:rPr>
        <w:t>.在本协议有效期</w:t>
      </w:r>
      <w:r>
        <w:rPr>
          <w:rFonts w:ascii="楷体_GB2312" w:hAnsi="宋体" w:eastAsia="楷体_GB2312"/>
          <w:color w:val="000000"/>
          <w:sz w:val="24"/>
          <w:szCs w:val="24"/>
        </w:rPr>
        <w:t>内</w:t>
      </w:r>
      <w:r>
        <w:rPr>
          <w:rFonts w:hint="eastAsia" w:ascii="楷体_GB2312" w:hAnsi="宋体" w:eastAsia="楷体_GB2312"/>
          <w:color w:val="000000"/>
          <w:sz w:val="24"/>
          <w:szCs w:val="24"/>
        </w:rPr>
        <w:t>，投资者应该保证指定的银行账户状态正常，因任何原因造成该银行账户销户或状态不正常，投资者有义务向信银理财及</w:t>
      </w:r>
      <w:r>
        <w:rPr>
          <w:rFonts w:ascii="楷体_GB2312" w:hAnsi="宋体" w:eastAsia="楷体_GB2312"/>
          <w:color w:val="000000"/>
          <w:sz w:val="24"/>
          <w:szCs w:val="24"/>
        </w:rPr>
        <w:t>代销机构</w:t>
      </w:r>
      <w:r>
        <w:rPr>
          <w:rFonts w:hint="eastAsia" w:ascii="楷体_GB2312" w:hAnsi="宋体" w:eastAsia="楷体_GB2312"/>
          <w:color w:val="000000"/>
          <w:sz w:val="24"/>
          <w:szCs w:val="24"/>
        </w:rPr>
        <w:t>做出合理说明，并向</w:t>
      </w:r>
      <w:r>
        <w:rPr>
          <w:rFonts w:ascii="楷体_GB2312" w:hAnsi="宋体" w:eastAsia="楷体_GB2312"/>
          <w:color w:val="000000"/>
          <w:sz w:val="24"/>
          <w:szCs w:val="24"/>
        </w:rPr>
        <w:t>代销机构</w:t>
      </w:r>
      <w:r>
        <w:rPr>
          <w:rFonts w:hint="eastAsia" w:ascii="楷体_GB2312" w:hAnsi="宋体" w:eastAsia="楷体_GB2312"/>
          <w:color w:val="000000"/>
          <w:sz w:val="24"/>
          <w:szCs w:val="24"/>
        </w:rPr>
        <w:t>书面申请变更。如果由于投资者原因导致赎回款、分红等资金不能及时入账，由此产生的任何损失由投资者自行承担。</w:t>
      </w:r>
    </w:p>
    <w:p>
      <w:pPr>
        <w:ind w:left="-202" w:leftChars="-84" w:firstLine="410" w:firstLineChars="170"/>
        <w:rPr>
          <w:rFonts w:ascii="楷体_GB2312" w:hAnsi="宋体" w:eastAsia="楷体_GB2312"/>
          <w:b/>
          <w:bCs/>
          <w:color w:val="000000"/>
          <w:sz w:val="24"/>
          <w:szCs w:val="24"/>
        </w:rPr>
      </w:pPr>
      <w:r>
        <w:rPr>
          <w:rFonts w:ascii="楷体_GB2312" w:hAnsi="宋体" w:eastAsia="楷体_GB2312"/>
          <w:b/>
          <w:bCs/>
          <w:color w:val="000000"/>
          <w:sz w:val="24"/>
          <w:szCs w:val="24"/>
        </w:rPr>
        <w:t>8.投资者同意，</w:t>
      </w:r>
      <w:r>
        <w:rPr>
          <w:rFonts w:hint="eastAsia" w:ascii="楷体_GB2312" w:hAnsi="宋体" w:eastAsia="楷体_GB2312"/>
          <w:b/>
          <w:bCs/>
          <w:color w:val="000000"/>
          <w:sz w:val="24"/>
          <w:szCs w:val="24"/>
        </w:rPr>
        <w:t>信银理财在合法合规的前提下可通过投资者预留的联系方式向投资者推送有关其理财产品的宣传、推介信息。</w:t>
      </w:r>
    </w:p>
    <w:p>
      <w:pPr>
        <w:ind w:left="-202" w:leftChars="-84" w:firstLine="408" w:firstLineChars="170"/>
        <w:rPr>
          <w:rFonts w:ascii="楷体_GB2312" w:hAnsi="宋体" w:eastAsia="楷体_GB2312"/>
          <w:color w:val="000000"/>
          <w:sz w:val="24"/>
          <w:szCs w:val="24"/>
        </w:rPr>
      </w:pPr>
      <w:r>
        <w:rPr>
          <w:rFonts w:ascii="楷体_GB2312" w:hAnsi="宋体" w:eastAsia="楷体_GB2312"/>
          <w:color w:val="000000"/>
          <w:sz w:val="24"/>
          <w:szCs w:val="24"/>
        </w:rPr>
        <w:t>9</w:t>
      </w:r>
      <w:r>
        <w:rPr>
          <w:rFonts w:hint="eastAsia" w:ascii="楷体_GB2312" w:hAnsi="宋体" w:eastAsia="楷体_GB2312"/>
          <w:color w:val="000000"/>
          <w:sz w:val="24"/>
          <w:szCs w:val="24"/>
        </w:rPr>
        <w:t>.信银理财有权收取交易费</w:t>
      </w:r>
      <w:r>
        <w:rPr>
          <w:rFonts w:ascii="楷体_GB2312" w:hAnsi="宋体" w:eastAsia="楷体_GB2312"/>
          <w:color w:val="000000"/>
          <w:sz w:val="24"/>
          <w:szCs w:val="24"/>
        </w:rPr>
        <w:t>、</w:t>
      </w:r>
      <w:r>
        <w:rPr>
          <w:rFonts w:hint="eastAsia" w:ascii="楷体_GB2312" w:hAnsi="宋体" w:eastAsia="楷体_GB2312"/>
          <w:color w:val="000000"/>
          <w:sz w:val="24"/>
          <w:szCs w:val="24"/>
        </w:rPr>
        <w:t>销售服务费、托管费及投资管理费等相关费用，具体费用名目、类别、收费方式和标准在产品说明书中载明。</w:t>
      </w:r>
    </w:p>
    <w:p>
      <w:pPr>
        <w:ind w:left="-202" w:leftChars="-84" w:firstLine="408" w:firstLineChars="170"/>
        <w:rPr>
          <w:rFonts w:ascii="楷体_GB2312" w:hAnsi="宋体" w:eastAsia="楷体_GB2312"/>
          <w:color w:val="000000"/>
          <w:sz w:val="24"/>
          <w:szCs w:val="24"/>
        </w:rPr>
      </w:pPr>
      <w:r>
        <w:rPr>
          <w:rFonts w:ascii="楷体_GB2312" w:hAnsi="宋体" w:eastAsia="楷体_GB2312"/>
          <w:color w:val="000000"/>
          <w:sz w:val="24"/>
          <w:szCs w:val="24"/>
        </w:rPr>
        <w:t>10</w:t>
      </w:r>
      <w:r>
        <w:rPr>
          <w:rFonts w:hint="eastAsia" w:ascii="楷体_GB2312" w:hAnsi="宋体" w:eastAsia="楷体_GB2312"/>
          <w:color w:val="000000"/>
          <w:sz w:val="24"/>
          <w:szCs w:val="24"/>
        </w:rPr>
        <w:t>.本理财产品收益（如有）为未扣税收益，投资者应根据国家规定自行纳税。如根据有关法律规定或税务机关要求，信银理财有权代扣代缴。</w:t>
      </w:r>
    </w:p>
    <w:p>
      <w:pPr>
        <w:ind w:left="-202" w:leftChars="-84" w:firstLine="410" w:firstLineChars="170"/>
        <w:rPr>
          <w:rFonts w:ascii="黑体" w:eastAsia="黑体"/>
          <w:b/>
          <w:sz w:val="24"/>
          <w:szCs w:val="24"/>
        </w:rPr>
      </w:pPr>
      <w:r>
        <w:rPr>
          <w:rFonts w:hint="eastAsia" w:ascii="黑体" w:eastAsia="黑体"/>
          <w:b/>
          <w:sz w:val="24"/>
          <w:szCs w:val="24"/>
        </w:rPr>
        <w:t>四、违约责任</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双方因违反本协议约定而给对方造成损失的，违约方</w:t>
      </w:r>
      <w:r>
        <w:rPr>
          <w:rFonts w:ascii="楷体_GB2312" w:hAnsi="宋体" w:eastAsia="楷体_GB2312"/>
          <w:color w:val="000000"/>
          <w:sz w:val="24"/>
          <w:szCs w:val="24"/>
        </w:rPr>
        <w:t>应赔偿因此给</w:t>
      </w:r>
      <w:r>
        <w:rPr>
          <w:rFonts w:hint="eastAsia" w:ascii="楷体_GB2312" w:hAnsi="宋体" w:eastAsia="楷体_GB2312"/>
          <w:color w:val="000000"/>
          <w:sz w:val="24"/>
          <w:szCs w:val="24"/>
        </w:rPr>
        <w:t>对</w:t>
      </w:r>
      <w:r>
        <w:rPr>
          <w:rFonts w:ascii="楷体_GB2312" w:hAnsi="宋体" w:eastAsia="楷体_GB2312"/>
          <w:color w:val="000000"/>
          <w:sz w:val="24"/>
          <w:szCs w:val="24"/>
        </w:rPr>
        <w:t>方造成的直接损失。</w:t>
      </w:r>
    </w:p>
    <w:p>
      <w:pPr>
        <w:ind w:left="-202" w:leftChars="-84" w:firstLine="410" w:firstLineChars="170"/>
        <w:rPr>
          <w:rFonts w:ascii="黑体" w:eastAsia="黑体"/>
          <w:b/>
          <w:sz w:val="24"/>
          <w:szCs w:val="24"/>
        </w:rPr>
      </w:pPr>
      <w:r>
        <w:rPr>
          <w:rFonts w:hint="eastAsia" w:ascii="黑体" w:eastAsia="黑体"/>
          <w:b/>
          <w:sz w:val="24"/>
          <w:szCs w:val="24"/>
        </w:rPr>
        <w:t>五、免责内容</w:t>
      </w:r>
    </w:p>
    <w:p>
      <w:pPr>
        <w:ind w:left="-202" w:leftChars="-84" w:firstLine="410" w:firstLineChars="170"/>
        <w:rPr>
          <w:rFonts w:ascii="楷体_GB2312" w:hAnsi="宋体" w:eastAsia="楷体_GB2312"/>
          <w:b/>
          <w:color w:val="000000"/>
          <w:sz w:val="24"/>
          <w:szCs w:val="24"/>
        </w:rPr>
      </w:pPr>
      <w:r>
        <w:rPr>
          <w:rFonts w:hint="eastAsia" w:ascii="楷体_GB2312" w:hAnsi="宋体" w:eastAsia="楷体_GB2312"/>
          <w:b/>
          <w:color w:val="000000"/>
          <w:sz w:val="24"/>
          <w:szCs w:val="24"/>
        </w:rPr>
        <w:t>因法律法规或监管政策变化、自然灾害、意外事故、战争、系统故障、通讯故障等信银理财不可控制的因素，导致信银理财无法或延后履行本协议有关义务的，信银理财不承担责任，但因信银理财故意或重大过失造成的系统故障、通讯故障等因素除外。</w:t>
      </w:r>
    </w:p>
    <w:p>
      <w:pPr>
        <w:ind w:left="-202" w:leftChars="-84" w:firstLine="410" w:firstLineChars="170"/>
        <w:rPr>
          <w:rFonts w:ascii="黑体" w:eastAsia="黑体"/>
          <w:b/>
          <w:sz w:val="24"/>
          <w:szCs w:val="24"/>
        </w:rPr>
      </w:pPr>
      <w:r>
        <w:rPr>
          <w:rFonts w:hint="eastAsia" w:ascii="黑体" w:eastAsia="黑体"/>
          <w:b/>
          <w:sz w:val="24"/>
          <w:szCs w:val="24"/>
        </w:rPr>
        <w:t>六、本协议的生效与终止</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投资者通过代销机构电子</w:t>
      </w:r>
      <w:r>
        <w:rPr>
          <w:rFonts w:ascii="楷体_GB2312" w:hAnsi="宋体" w:eastAsia="楷体_GB2312"/>
          <w:color w:val="000000"/>
          <w:sz w:val="24"/>
          <w:szCs w:val="24"/>
        </w:rPr>
        <w:t>渠道购买理财产品的，</w:t>
      </w:r>
      <w:r>
        <w:rPr>
          <w:rFonts w:hint="eastAsia" w:ascii="楷体_GB2312" w:hAnsi="宋体" w:eastAsia="楷体_GB2312"/>
          <w:color w:val="000000"/>
          <w:sz w:val="24"/>
          <w:szCs w:val="24"/>
        </w:rPr>
        <w:t>本协议</w:t>
      </w:r>
      <w:r>
        <w:rPr>
          <w:rFonts w:ascii="楷体_GB2312" w:hAnsi="宋体" w:eastAsia="楷体_GB2312"/>
          <w:color w:val="000000"/>
          <w:sz w:val="24"/>
          <w:szCs w:val="24"/>
        </w:rPr>
        <w:t>自投资者在线点击确认</w:t>
      </w:r>
      <w:r>
        <w:rPr>
          <w:rFonts w:hint="eastAsia" w:ascii="楷体_GB2312" w:hAnsi="宋体" w:eastAsia="楷体_GB2312"/>
          <w:color w:val="000000"/>
          <w:sz w:val="24"/>
          <w:szCs w:val="24"/>
        </w:rPr>
        <w:t>后</w:t>
      </w:r>
      <w:r>
        <w:rPr>
          <w:rFonts w:ascii="楷体_GB2312" w:hAnsi="宋体" w:eastAsia="楷体_GB2312"/>
          <w:color w:val="000000"/>
          <w:sz w:val="24"/>
          <w:szCs w:val="24"/>
        </w:rPr>
        <w:t>生效。</w:t>
      </w:r>
      <w:r>
        <w:rPr>
          <w:rFonts w:hint="eastAsia" w:ascii="楷体_GB2312" w:hAnsi="宋体" w:eastAsia="楷体_GB2312"/>
          <w:color w:val="000000"/>
          <w:sz w:val="24"/>
          <w:szCs w:val="24"/>
        </w:rPr>
        <w:t>如任一方拟终止本协议的，需以投资者购买的理财产品全部清算结束为前提。</w:t>
      </w:r>
    </w:p>
    <w:p>
      <w:pPr>
        <w:ind w:left="-202" w:leftChars="-84" w:firstLine="410" w:firstLineChars="170"/>
        <w:rPr>
          <w:rFonts w:ascii="黑体" w:eastAsia="黑体"/>
          <w:b/>
          <w:sz w:val="24"/>
          <w:szCs w:val="24"/>
        </w:rPr>
      </w:pPr>
      <w:r>
        <w:rPr>
          <w:rFonts w:hint="eastAsia" w:ascii="黑体" w:eastAsia="黑体"/>
          <w:b/>
          <w:sz w:val="24"/>
          <w:szCs w:val="24"/>
        </w:rPr>
        <w:t>七、争议解决</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bCs/>
          <w:color w:val="000000"/>
          <w:sz w:val="24"/>
          <w:szCs w:val="24"/>
        </w:rPr>
        <w:t>甲乙双方在本协议项下发生任何争议时，应本着诚实信用的原则通过协商解决。如通过协商仍不能解决争议时，</w:t>
      </w:r>
      <w:r>
        <w:rPr>
          <w:rFonts w:hint="eastAsia" w:ascii="楷体_GB2312" w:eastAsia="楷体_GB2312"/>
          <w:bCs/>
          <w:sz w:val="24"/>
          <w:szCs w:val="28"/>
        </w:rPr>
        <w:t>双方均同意向信银理财所在地有</w:t>
      </w:r>
      <w:r>
        <w:rPr>
          <w:rFonts w:ascii="楷体_GB2312" w:eastAsia="楷体_GB2312"/>
          <w:bCs/>
          <w:sz w:val="24"/>
          <w:szCs w:val="28"/>
        </w:rPr>
        <w:t>管辖权的</w:t>
      </w:r>
      <w:r>
        <w:rPr>
          <w:rFonts w:hint="eastAsia" w:ascii="楷体_GB2312" w:eastAsia="楷体_GB2312"/>
          <w:bCs/>
          <w:sz w:val="24"/>
          <w:szCs w:val="28"/>
        </w:rPr>
        <w:t>人民法院提起诉讼。</w:t>
      </w:r>
    </w:p>
    <w:p>
      <w:pPr>
        <w:ind w:left="-202" w:leftChars="-84" w:firstLine="410" w:firstLineChars="170"/>
        <w:rPr>
          <w:rFonts w:ascii="黑体" w:eastAsia="黑体"/>
          <w:b/>
          <w:sz w:val="24"/>
          <w:szCs w:val="24"/>
        </w:rPr>
      </w:pPr>
      <w:r>
        <w:rPr>
          <w:rFonts w:hint="eastAsia" w:ascii="黑体" w:eastAsia="黑体"/>
          <w:b/>
          <w:sz w:val="24"/>
          <w:szCs w:val="24"/>
        </w:rPr>
        <w:t>八、附则</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1.本协议条款与产品说明书不一致的，以产品说明书为准。</w:t>
      </w:r>
    </w:p>
    <w:p>
      <w:pPr>
        <w:ind w:left="-202" w:leftChars="-84" w:firstLine="408" w:firstLineChars="170"/>
        <w:rPr>
          <w:rFonts w:ascii="楷体_GB2312" w:hAnsi="宋体" w:eastAsia="楷体_GB2312"/>
          <w:color w:val="000000"/>
          <w:sz w:val="24"/>
          <w:szCs w:val="24"/>
        </w:rPr>
      </w:pPr>
      <w:r>
        <w:rPr>
          <w:rFonts w:hint="eastAsia" w:ascii="楷体_GB2312" w:hAnsi="宋体" w:eastAsia="楷体_GB2312"/>
          <w:color w:val="000000"/>
          <w:sz w:val="24"/>
          <w:szCs w:val="24"/>
        </w:rPr>
        <w:t>2.</w:t>
      </w:r>
      <w:r>
        <w:rPr>
          <w:rFonts w:ascii="楷体_GB2312" w:hAnsi="宋体" w:eastAsia="楷体_GB2312"/>
          <w:color w:val="000000"/>
          <w:sz w:val="24"/>
          <w:szCs w:val="24"/>
        </w:rPr>
        <w:t>如果由于任何原因使本协议下的任何条款或者内容成为无效或者依法</w:t>
      </w:r>
      <w:r>
        <w:rPr>
          <w:rFonts w:hint="eastAsia" w:ascii="楷体_GB2312" w:hAnsi="宋体" w:eastAsia="楷体_GB2312"/>
          <w:color w:val="000000"/>
          <w:sz w:val="24"/>
          <w:szCs w:val="24"/>
        </w:rPr>
        <w:t>被撤</w:t>
      </w:r>
      <w:r>
        <w:rPr>
          <w:rFonts w:ascii="楷体_GB2312" w:hAnsi="宋体" w:eastAsia="楷体_GB2312"/>
          <w:color w:val="000000"/>
          <w:sz w:val="24"/>
          <w:szCs w:val="24"/>
        </w:rPr>
        <w:t>消，本协议其他条款或内容的合法性，有效性和可执行性不受影响。</w:t>
      </w:r>
    </w:p>
    <w:p>
      <w:pPr>
        <w:ind w:left="-202" w:leftChars="-84" w:firstLine="408" w:firstLineChars="17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.本协议未尽事宜，以理财产品说明书、风险揭示书、投资者权益须知的内容为准。</w:t>
      </w:r>
    </w:p>
    <w:p>
      <w:pPr>
        <w:ind w:left="-202" w:leftChars="-84" w:firstLine="408" w:firstLineChars="170"/>
        <w:rPr>
          <w:rFonts w:ascii="楷体_GB2312" w:eastAsia="楷体_GB2312"/>
          <w:sz w:val="24"/>
          <w:szCs w:val="24"/>
        </w:rPr>
      </w:pPr>
      <w:r>
        <w:rPr>
          <w:rFonts w:ascii="楷体_GB2312" w:eastAsia="楷体_GB2312"/>
          <w:sz w:val="24"/>
          <w:szCs w:val="24"/>
        </w:rPr>
        <w:t>4.</w:t>
      </w:r>
      <w:r>
        <w:rPr>
          <w:rFonts w:hint="eastAsia" w:ascii="楷体_GB2312" w:eastAsia="楷体_GB2312"/>
          <w:sz w:val="24"/>
          <w:szCs w:val="24"/>
        </w:rPr>
        <w:t>信银</w:t>
      </w:r>
      <w:r>
        <w:rPr>
          <w:rFonts w:ascii="楷体_GB2312" w:eastAsia="楷体_GB2312"/>
          <w:sz w:val="24"/>
          <w:szCs w:val="24"/>
        </w:rPr>
        <w:t>理财理财产品通过代销机构销售的，</w:t>
      </w:r>
      <w:r>
        <w:rPr>
          <w:rFonts w:hint="eastAsia" w:ascii="楷体_GB2312" w:eastAsia="楷体_GB2312"/>
          <w:sz w:val="24"/>
          <w:szCs w:val="24"/>
        </w:rPr>
        <w:t>产品</w:t>
      </w:r>
      <w:r>
        <w:rPr>
          <w:rFonts w:ascii="楷体_GB2312" w:eastAsia="楷体_GB2312"/>
          <w:sz w:val="24"/>
          <w:szCs w:val="24"/>
        </w:rPr>
        <w:t>销售流程</w:t>
      </w:r>
      <w:r>
        <w:rPr>
          <w:rFonts w:hint="eastAsia" w:ascii="楷体_GB2312" w:eastAsia="楷体_GB2312"/>
          <w:sz w:val="24"/>
          <w:szCs w:val="24"/>
        </w:rPr>
        <w:t>、</w:t>
      </w:r>
      <w:r>
        <w:rPr>
          <w:rFonts w:ascii="楷体_GB2312" w:eastAsia="楷体_GB2312"/>
          <w:sz w:val="24"/>
          <w:szCs w:val="24"/>
        </w:rPr>
        <w:t>销售规则</w:t>
      </w:r>
      <w:r>
        <w:rPr>
          <w:rFonts w:hint="eastAsia" w:ascii="楷体_GB2312" w:eastAsia="楷体_GB2312"/>
          <w:sz w:val="24"/>
          <w:szCs w:val="24"/>
        </w:rPr>
        <w:t>和</w:t>
      </w:r>
      <w:r>
        <w:rPr>
          <w:rFonts w:ascii="楷体_GB2312" w:eastAsia="楷体_GB2312"/>
          <w:sz w:val="24"/>
          <w:szCs w:val="24"/>
        </w:rPr>
        <w:t>代销机构</w:t>
      </w:r>
      <w:r>
        <w:rPr>
          <w:rFonts w:hint="eastAsia" w:ascii="楷体_GB2312" w:eastAsia="楷体_GB2312"/>
          <w:sz w:val="24"/>
          <w:szCs w:val="24"/>
        </w:rPr>
        <w:t>与</w:t>
      </w:r>
      <w:r>
        <w:rPr>
          <w:rFonts w:ascii="楷体_GB2312" w:eastAsia="楷体_GB2312"/>
          <w:sz w:val="24"/>
          <w:szCs w:val="24"/>
        </w:rPr>
        <w:t>投资者之间权利义务</w:t>
      </w:r>
      <w:r>
        <w:rPr>
          <w:rFonts w:hint="eastAsia" w:ascii="楷体_GB2312" w:eastAsia="楷体_GB2312"/>
          <w:sz w:val="24"/>
          <w:szCs w:val="24"/>
        </w:rPr>
        <w:t>以</w:t>
      </w:r>
      <w:r>
        <w:rPr>
          <w:rFonts w:ascii="楷体_GB2312" w:eastAsia="楷体_GB2312"/>
          <w:sz w:val="24"/>
          <w:szCs w:val="24"/>
        </w:rPr>
        <w:t>销售机构的</w:t>
      </w:r>
      <w:r>
        <w:rPr>
          <w:rFonts w:hint="eastAsia" w:ascii="楷体_GB2312" w:eastAsia="楷体_GB2312"/>
          <w:sz w:val="24"/>
          <w:szCs w:val="24"/>
        </w:rPr>
        <w:t>公示、</w:t>
      </w:r>
      <w:r>
        <w:rPr>
          <w:rFonts w:ascii="楷体_GB2312" w:eastAsia="楷体_GB2312"/>
          <w:sz w:val="24"/>
          <w:szCs w:val="24"/>
        </w:rPr>
        <w:t>要求</w:t>
      </w:r>
      <w:r>
        <w:rPr>
          <w:rFonts w:hint="eastAsia" w:ascii="楷体_GB2312" w:eastAsia="楷体_GB2312"/>
          <w:sz w:val="24"/>
          <w:szCs w:val="24"/>
        </w:rPr>
        <w:t>和</w:t>
      </w:r>
      <w:r>
        <w:rPr>
          <w:rFonts w:ascii="楷体_GB2312" w:eastAsia="楷体_GB2312"/>
          <w:sz w:val="24"/>
          <w:szCs w:val="24"/>
        </w:rPr>
        <w:t>代销机构与投资者签署的销售协议为准</w:t>
      </w:r>
      <w:r>
        <w:rPr>
          <w:rFonts w:hint="eastAsia" w:ascii="楷体_GB2312" w:eastAsia="楷体_GB2312"/>
          <w:sz w:val="24"/>
          <w:szCs w:val="24"/>
        </w:rPr>
        <w:t>，</w:t>
      </w:r>
      <w:r>
        <w:rPr>
          <w:rFonts w:ascii="楷体_GB2312" w:eastAsia="楷体_GB2312"/>
          <w:sz w:val="24"/>
          <w:szCs w:val="24"/>
        </w:rPr>
        <w:t>本协议中任何对销售流程</w:t>
      </w:r>
      <w:r>
        <w:rPr>
          <w:rFonts w:hint="eastAsia" w:ascii="楷体_GB2312" w:eastAsia="楷体_GB2312"/>
          <w:sz w:val="24"/>
          <w:szCs w:val="24"/>
        </w:rPr>
        <w:t>、</w:t>
      </w:r>
      <w:r>
        <w:rPr>
          <w:rFonts w:ascii="楷体_GB2312" w:eastAsia="楷体_GB2312"/>
          <w:sz w:val="24"/>
          <w:szCs w:val="24"/>
        </w:rPr>
        <w:t>销售规则以及代销机构与投资者之间权利义务的描述与代销机构实际流程</w:t>
      </w:r>
      <w:r>
        <w:rPr>
          <w:rFonts w:hint="eastAsia" w:ascii="楷体_GB2312" w:eastAsia="楷体_GB2312"/>
          <w:sz w:val="24"/>
          <w:szCs w:val="24"/>
        </w:rPr>
        <w:t>、</w:t>
      </w:r>
      <w:r>
        <w:rPr>
          <w:rFonts w:ascii="楷体_GB2312" w:eastAsia="楷体_GB2312"/>
          <w:sz w:val="24"/>
          <w:szCs w:val="24"/>
        </w:rPr>
        <w:t>要求</w:t>
      </w:r>
      <w:r>
        <w:rPr>
          <w:rFonts w:hint="eastAsia" w:ascii="楷体_GB2312" w:eastAsia="楷体_GB2312"/>
          <w:sz w:val="24"/>
          <w:szCs w:val="24"/>
        </w:rPr>
        <w:t>及</w:t>
      </w:r>
      <w:r>
        <w:rPr>
          <w:rFonts w:ascii="楷体_GB2312" w:eastAsia="楷体_GB2312"/>
          <w:sz w:val="24"/>
          <w:szCs w:val="24"/>
        </w:rPr>
        <w:t>代销机构与投资者</w:t>
      </w:r>
      <w:r>
        <w:rPr>
          <w:rFonts w:hint="eastAsia" w:ascii="楷体_GB2312" w:eastAsia="楷体_GB2312"/>
          <w:sz w:val="24"/>
          <w:szCs w:val="24"/>
        </w:rPr>
        <w:t>签署</w:t>
      </w:r>
      <w:r>
        <w:rPr>
          <w:rFonts w:ascii="楷体_GB2312" w:eastAsia="楷体_GB2312"/>
          <w:sz w:val="24"/>
          <w:szCs w:val="24"/>
        </w:rPr>
        <w:t>的销售协议不一致的，信银理财不承担任何责任。</w:t>
      </w:r>
    </w:p>
    <w:p>
      <w:pPr>
        <w:rPr>
          <w:rFonts w:ascii="黑体" w:eastAsia="黑体"/>
          <w:color w:val="000000"/>
          <w:sz w:val="24"/>
          <w:szCs w:val="24"/>
        </w:rPr>
      </w:pPr>
      <w:r>
        <w:rPr>
          <w:rFonts w:hint="eastAsia" w:ascii="黑体" w:eastAsia="黑体"/>
          <w:color w:val="000000"/>
          <w:sz w:val="24"/>
          <w:szCs w:val="24"/>
        </w:rPr>
        <w:t>【重要提示：信银理财已（或</w:t>
      </w:r>
      <w:r>
        <w:rPr>
          <w:rFonts w:ascii="黑体" w:eastAsia="黑体"/>
          <w:color w:val="000000"/>
          <w:sz w:val="24"/>
          <w:szCs w:val="24"/>
        </w:rPr>
        <w:t>通过代销机构）</w:t>
      </w:r>
      <w:r>
        <w:rPr>
          <w:rFonts w:hint="eastAsia" w:ascii="黑体" w:eastAsia="黑体"/>
          <w:color w:val="000000"/>
          <w:sz w:val="24"/>
          <w:szCs w:val="24"/>
        </w:rPr>
        <w:t>提请投资者注意本合同项下免除或限制其责任的条款以及诉讼管辖条款，并已按投资者要求对有关条款予以充分说明。投资者在</w:t>
      </w:r>
      <w:r>
        <w:rPr>
          <w:rFonts w:ascii="黑体" w:eastAsia="黑体"/>
          <w:color w:val="000000"/>
          <w:sz w:val="24"/>
          <w:szCs w:val="24"/>
        </w:rPr>
        <w:t>线上</w:t>
      </w:r>
      <w:r>
        <w:rPr>
          <w:rFonts w:hint="eastAsia" w:ascii="黑体" w:eastAsia="黑体"/>
          <w:color w:val="000000"/>
          <w:sz w:val="24"/>
          <w:szCs w:val="24"/>
        </w:rPr>
        <w:t>点击</w:t>
      </w:r>
      <w:r>
        <w:rPr>
          <w:rFonts w:ascii="黑体" w:eastAsia="黑体"/>
          <w:color w:val="000000"/>
          <w:sz w:val="24"/>
          <w:szCs w:val="24"/>
        </w:rPr>
        <w:t>确认</w:t>
      </w:r>
      <w:r>
        <w:rPr>
          <w:rFonts w:hint="eastAsia" w:ascii="黑体" w:eastAsia="黑体"/>
          <w:color w:val="000000"/>
          <w:sz w:val="24"/>
          <w:szCs w:val="24"/>
        </w:rPr>
        <w:t>即表示已知晓并同意本协议及理财产品说明书、风险揭示书、投资者权益须知的全部</w:t>
      </w:r>
      <w:r>
        <w:rPr>
          <w:rFonts w:ascii="黑体" w:eastAsia="黑体"/>
          <w:color w:val="000000"/>
          <w:sz w:val="24"/>
          <w:szCs w:val="24"/>
        </w:rPr>
        <w:t>内容</w:t>
      </w:r>
      <w:r>
        <w:rPr>
          <w:rFonts w:hint="eastAsia" w:ascii="黑体" w:eastAsia="黑体"/>
          <w:color w:val="000000"/>
          <w:sz w:val="24"/>
          <w:szCs w:val="24"/>
        </w:rPr>
        <w:t>，因此请您务必仔细阅读后再签署本协议。】</w:t>
      </w:r>
    </w:p>
    <w:p>
      <w:pPr>
        <w:widowControl/>
        <w:spacing w:before="100" w:beforeAutospacing="1" w:after="100" w:afterAutospacing="1" w:line="360" w:lineRule="auto"/>
      </w:pPr>
      <w:r>
        <w:t xml:space="preserve"> </w:t>
      </w:r>
    </w:p>
    <w:p/>
    <w:p>
      <w:pPr>
        <w:spacing w:line="300" w:lineRule="exact"/>
        <w:ind w:firstLine="720" w:firstLineChars="300"/>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onotype Corsiva">
    <w:altName w:val="Mongolian Baiti"/>
    <w:panose1 w:val="03010101010201010101"/>
    <w:charset w:val="00"/>
    <w:family w:val="script"/>
    <w:pitch w:val="default"/>
    <w:sig w:usb0="00000000" w:usb1="00000000" w:usb2="00000000" w:usb3="00000000" w:csb0="0000009F" w:csb1="00000000"/>
  </w:font>
  <w:font w:name="仿宋_GB2312">
    <w:altName w:val="仿宋"/>
    <w:panose1 w:val="00000000000000000000"/>
    <w:charset w:val="88"/>
    <w:family w:val="auto"/>
    <w:pitch w:val="default"/>
    <w:sig w:usb0="00000000" w:usb1="00000000" w:usb2="00000010" w:usb3="00000000" w:csb0="001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caps/>
        <w:color w:val="5B9BD5" w:themeColor="accent1"/>
        <w14:textFill>
          <w14:solidFill>
            <w14:schemeClr w14:val="accent1"/>
          </w14:solidFill>
        </w14:textFill>
      </w:rPr>
    </w:pPr>
    <w:r>
      <w:rPr>
        <w:caps/>
        <w:color w:val="5B9BD5" w:themeColor="accent1"/>
        <w14:textFill>
          <w14:solidFill>
            <w14:schemeClr w14:val="accent1"/>
          </w14:solidFill>
        </w14:textFill>
      </w:rPr>
      <w:fldChar w:fldCharType="begin"/>
    </w:r>
    <w:r>
      <w:rPr>
        <w:caps/>
        <w:color w:val="5B9BD5" w:themeColor="accent1"/>
        <w14:textFill>
          <w14:solidFill>
            <w14:schemeClr w14:val="accent1"/>
          </w14:solidFill>
        </w14:textFill>
      </w:rPr>
      <w:instrText xml:space="preserve">PAGE   \* MERGEFORMAT</w:instrText>
    </w:r>
    <w:r>
      <w:rPr>
        <w:caps/>
        <w:color w:val="5B9BD5" w:themeColor="accent1"/>
        <w14:textFill>
          <w14:solidFill>
            <w14:schemeClr w14:val="accent1"/>
          </w14:solidFill>
        </w14:textFill>
      </w:rPr>
      <w:fldChar w:fldCharType="separate"/>
    </w:r>
    <w:r>
      <w:rPr>
        <w:caps/>
        <w:color w:val="5B9BD5" w:themeColor="accent1"/>
        <w:lang w:val="zh-CN"/>
        <w14:textFill>
          <w14:solidFill>
            <w14:schemeClr w14:val="accent1"/>
          </w14:solidFill>
        </w14:textFill>
      </w:rPr>
      <w:t>1</w:t>
    </w:r>
    <w:r>
      <w:rPr>
        <w:caps/>
        <w:color w:val="5B9BD5" w:themeColor="accent1"/>
        <w14:textFill>
          <w14:solidFill>
            <w14:schemeClr w14:val="accent1"/>
          </w14:solidFill>
        </w14:textFill>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 xml:space="preserve">                                                        理财非存款、产品有风险、投资须谨慎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96708"/>
    <w:rsid w:val="73396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widowControl w:val="0"/>
      <w:spacing w:after="160" w:line="259" w:lineRule="auto"/>
      <w:jc w:val="left"/>
    </w:pPr>
    <w:rPr>
      <w:rFonts w:ascii="Times New Roman" w:hAnsi="Times New Roman" w:cs="Times New Roman"/>
      <w:kern w:val="2"/>
      <w:sz w:val="21"/>
      <w:szCs w:val="20"/>
    </w:rPr>
  </w:style>
  <w:style w:type="paragraph" w:styleId="3">
    <w:name w:val="Balloon Text"/>
    <w:basedOn w:val="1"/>
    <w:link w:val="14"/>
    <w:semiHidden/>
    <w:unhideWhenUsed/>
    <w:qFormat/>
    <w:uiPriority w:val="99"/>
    <w:pPr>
      <w:widowControl w:val="0"/>
      <w:spacing w:after="160" w:line="259" w:lineRule="auto"/>
      <w:jc w:val="both"/>
    </w:pPr>
    <w:rPr>
      <w:rFonts w:ascii="宋体" w:hAnsi="Times New Roman" w:cs="Times New Roman"/>
      <w:kern w:val="2"/>
      <w:sz w:val="18"/>
      <w:szCs w:val="18"/>
    </w:rPr>
  </w:style>
  <w:style w:type="paragraph" w:styleId="4">
    <w:name w:val="footer"/>
    <w:basedOn w:val="1"/>
    <w:link w:val="13"/>
    <w:uiPriority w:val="99"/>
    <w:pPr>
      <w:tabs>
        <w:tab w:val="center" w:pos="4153"/>
        <w:tab w:val="right" w:pos="8306"/>
      </w:tabs>
      <w:snapToGrid w:val="0"/>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widowControl w:val="0"/>
      <w:spacing w:after="0" w:line="240" w:lineRule="auto"/>
      <w:ind w:left="420" w:leftChars="200"/>
      <w:jc w:val="both"/>
    </w:pPr>
    <w:rPr>
      <w:rFonts w:ascii="Times New Roman" w:hAnsi="Times New Roman" w:cs="Times New Roman"/>
      <w:kern w:val="2"/>
      <w:sz w:val="21"/>
      <w:szCs w:val="24"/>
    </w:rPr>
  </w:style>
  <w:style w:type="paragraph" w:styleId="7">
    <w:name w:val="annotation subject"/>
    <w:basedOn w:val="2"/>
    <w:next w:val="2"/>
    <w:link w:val="16"/>
    <w:semiHidden/>
    <w:unhideWhenUsed/>
    <w:qFormat/>
    <w:uiPriority w:val="99"/>
    <w:rPr>
      <w:b/>
      <w:bCs/>
    </w:rPr>
  </w:style>
  <w:style w:type="character" w:styleId="10">
    <w:name w:val="Hyperlink"/>
    <w:basedOn w:val="9"/>
    <w:unhideWhenUsed/>
    <w:qFormat/>
    <w:uiPriority w:val="99"/>
    <w:rPr>
      <w:rFonts w:ascii="Times New Roman" w:hAnsi="Times New Roman" w:eastAsia="宋体" w:cs="Times New Roman"/>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rFonts w:ascii="Times New Roman" w:hAnsi="Times New Roman" w:eastAsia="宋体" w:cs="Times New Roman"/>
      <w:sz w:val="21"/>
      <w:szCs w:val="21"/>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宋体" w:hAnsi="Times New Roman" w:eastAsia="宋体" w:cs="Times New Roman"/>
      <w:sz w:val="18"/>
      <w:szCs w:val="18"/>
    </w:rPr>
  </w:style>
  <w:style w:type="character" w:customStyle="1" w:styleId="15">
    <w:name w:val="批注文字 Char"/>
    <w:basedOn w:val="9"/>
    <w:link w:val="2"/>
    <w:semiHidden/>
    <w:qFormat/>
    <w:uiPriority w:val="99"/>
    <w:rPr>
      <w:rFonts w:ascii="Times New Roman" w:hAnsi="Times New Roman" w:eastAsia="宋体" w:cs="Times New Roman"/>
    </w:rPr>
  </w:style>
  <w:style w:type="character" w:customStyle="1" w:styleId="16">
    <w:name w:val="批注主题 Char"/>
    <w:basedOn w:val="15"/>
    <w:link w:val="7"/>
    <w:semiHidden/>
    <w:qFormat/>
    <w:uiPriority w:val="99"/>
    <w:rPr>
      <w:b/>
      <w:bCs/>
    </w:rPr>
  </w:style>
  <w:style w:type="paragraph" w:customStyle="1" w:styleId="17">
    <w:name w:val="正文 New New New New New New New New New New New New New"/>
    <w:qFormat/>
    <w:uiPriority w:val="0"/>
    <w:pPr>
      <w:widowControl w:val="0"/>
      <w:spacing w:after="0" w:line="240" w:lineRule="auto"/>
      <w:jc w:val="both"/>
    </w:pPr>
    <w:rPr>
      <w:rFonts w:ascii="Times New Roman" w:hAnsi="Times New Roman" w:eastAsia="仿宋_GB2312" w:cs="Times New Roman"/>
      <w:kern w:val="2"/>
      <w:sz w:val="32"/>
      <w:szCs w:val="32"/>
      <w:lang w:val="en-US" w:eastAsia="zh-CN" w:bidi="ar-SA"/>
    </w:rPr>
  </w:style>
  <w:style w:type="paragraph" w:customStyle="1" w:styleId="18">
    <w:name w:val="正文文本缩进 New"/>
    <w:basedOn w:val="1"/>
    <w:qFormat/>
    <w:uiPriority w:val="0"/>
    <w:pPr>
      <w:widowControl/>
      <w:overflowPunct w:val="0"/>
      <w:autoSpaceDE w:val="0"/>
      <w:autoSpaceDN w:val="0"/>
      <w:adjustRightInd w:val="0"/>
      <w:spacing w:after="0" w:line="240" w:lineRule="auto"/>
      <w:ind w:left="1134"/>
      <w:jc w:val="left"/>
      <w:textAlignment w:val="baseline"/>
    </w:pPr>
    <w:rPr>
      <w:rFonts w:ascii="宋体" w:hAnsi="Times New Roman" w:cs="Times New Roman"/>
      <w:kern w:val="0"/>
      <w:sz w:val="24"/>
      <w:szCs w:val="20"/>
    </w:rPr>
  </w:style>
  <w:style w:type="paragraph" w:customStyle="1" w:styleId="19">
    <w:name w:val="正文 New New New New New New New New New New New"/>
    <w:qFormat/>
    <w:uiPriority w:val="0"/>
    <w:pPr>
      <w:autoSpaceDE w:val="0"/>
      <w:autoSpaceDN w:val="0"/>
      <w:adjustRightInd w:val="0"/>
      <w:spacing w:after="0" w:line="240" w:lineRule="auto"/>
    </w:pPr>
    <w:rPr>
      <w:rFonts w:ascii="宋体"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414</Words>
  <Characters>2364</Characters>
  <Lines>19</Lines>
  <Paragraphs>5</Paragraphs>
  <TotalTime>18</TotalTime>
  <ScaleCrop>false</ScaleCrop>
  <LinksUpToDate>false</LinksUpToDate>
  <CharactersWithSpaces>2773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2021-04-15T12:48:00Z</dcterms:created>
  <dc:creator>xiangyujia</dc:creator>
  <cp:lastModifiedBy>NTKO</cp:lastModifiedBy>
  <cp:lastPrinted>2021-04-16T00:53:00Z</cp:lastPrinted>
  <dcterms:modified xsi:type="dcterms:W3CDTF">2023-05-24T09:23:11Z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527174D3B6D74C4A968347D8928FCEDB</vt:lpwstr>
  </property>
</Properties>
</file>