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一年144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一年144期封闭式公募人民币理财产品（产品登记编码：Z7003223000225）已于2023年12月05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3年12月06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685,924,950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3年12月07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